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85456" w14:textId="77777777" w:rsidR="00DA7271" w:rsidRPr="005C325E" w:rsidRDefault="00DA7271" w:rsidP="00DA7271">
      <w:pPr>
        <w:jc w:val="center"/>
        <w:rPr>
          <w:b/>
          <w:bCs/>
        </w:rPr>
      </w:pPr>
      <w:bookmarkStart w:id="0" w:name="_GoBack"/>
      <w:bookmarkEnd w:id="0"/>
      <w:r w:rsidRPr="005C325E">
        <w:rPr>
          <w:noProof/>
        </w:rPr>
        <w:drawing>
          <wp:anchor distT="0" distB="0" distL="114300" distR="114300" simplePos="0" relativeHeight="251659264" behindDoc="1" locked="0" layoutInCell="1" allowOverlap="1" wp14:anchorId="4DC51200" wp14:editId="1C5069C3">
            <wp:simplePos x="0" y="0"/>
            <wp:positionH relativeFrom="margin">
              <wp:align>left</wp:align>
            </wp:positionH>
            <wp:positionV relativeFrom="paragraph">
              <wp:posOffset>-361625</wp:posOffset>
            </wp:positionV>
            <wp:extent cx="2751877" cy="1541721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31" cy="155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82DFA" w14:textId="77777777" w:rsidR="00DA7271" w:rsidRPr="005C325E" w:rsidRDefault="00DA7271" w:rsidP="00DA7271">
      <w:pPr>
        <w:rPr>
          <w:b/>
          <w:bCs/>
        </w:rPr>
      </w:pPr>
    </w:p>
    <w:p w14:paraId="3DF89547" w14:textId="77777777" w:rsidR="00DA7271" w:rsidRPr="005C325E" w:rsidRDefault="00DA7271" w:rsidP="00DA7271">
      <w:pPr>
        <w:rPr>
          <w:b/>
          <w:bCs/>
        </w:rPr>
      </w:pPr>
    </w:p>
    <w:p w14:paraId="0483AD3F" w14:textId="77777777" w:rsidR="00DA7271" w:rsidRPr="005C325E" w:rsidRDefault="00DA7271" w:rsidP="00DA7271">
      <w:pPr>
        <w:rPr>
          <w:b/>
          <w:bCs/>
        </w:rPr>
      </w:pPr>
    </w:p>
    <w:p w14:paraId="4A9A054E" w14:textId="77777777" w:rsidR="00DA7271" w:rsidRPr="005C325E" w:rsidRDefault="00DA7271" w:rsidP="00DA7271">
      <w:pPr>
        <w:rPr>
          <w:b/>
          <w:bCs/>
        </w:rPr>
      </w:pPr>
    </w:p>
    <w:p w14:paraId="11CA5CC0" w14:textId="77777777" w:rsidR="00DA7271" w:rsidRPr="005C325E" w:rsidRDefault="00DA7271" w:rsidP="00DA7271">
      <w:pPr>
        <w:rPr>
          <w:b/>
          <w:bCs/>
        </w:rPr>
      </w:pPr>
    </w:p>
    <w:p w14:paraId="1B54FC4E" w14:textId="77777777" w:rsidR="00DA7271" w:rsidRPr="005C325E" w:rsidRDefault="00DA7271" w:rsidP="00DA7271">
      <w:pPr>
        <w:rPr>
          <w:b/>
          <w:bCs/>
        </w:rPr>
      </w:pPr>
      <w:r w:rsidRPr="005C325E">
        <w:rPr>
          <w:b/>
          <w:bCs/>
        </w:rPr>
        <w:t>ТАРИФЫ БРОКЕРСКОГО ОБСЛУЖИВАНИЯ ООО «БК РЕГИОН»</w:t>
      </w:r>
      <w:r w:rsidR="003E7D0C" w:rsidRPr="005C325E">
        <w:rPr>
          <w:b/>
          <w:bCs/>
        </w:rPr>
        <w:t xml:space="preserve"> </w:t>
      </w:r>
      <w:r w:rsidRPr="005C325E">
        <w:rPr>
          <w:b/>
          <w:bCs/>
        </w:rPr>
        <w:br/>
        <w:t xml:space="preserve">ДЛЯ </w:t>
      </w:r>
      <w:r w:rsidR="002E4680" w:rsidRPr="005C325E">
        <w:rPr>
          <w:b/>
          <w:bCs/>
        </w:rPr>
        <w:t>ФИЗИЧЕСКИХ</w:t>
      </w:r>
      <w:r w:rsidRPr="005C325E">
        <w:rPr>
          <w:b/>
          <w:bCs/>
        </w:rPr>
        <w:t xml:space="preserve"> ЛИЦ</w:t>
      </w:r>
    </w:p>
    <w:p w14:paraId="26600BE9" w14:textId="77777777" w:rsidR="000E7009" w:rsidRPr="005C325E" w:rsidRDefault="000E7009" w:rsidP="00AA2C20">
      <w:pPr>
        <w:spacing w:before="120" w:after="120"/>
        <w:jc w:val="center"/>
        <w:rPr>
          <w:b/>
          <w:bCs/>
        </w:rPr>
      </w:pPr>
      <w:r w:rsidRPr="005C325E">
        <w:rPr>
          <w:b/>
          <w:bCs/>
        </w:rPr>
        <w:t>I. ТАРИФ БАЗОВЫЙ</w:t>
      </w:r>
    </w:p>
    <w:p w14:paraId="4DB5BFBD" w14:textId="77777777" w:rsidR="003C1387" w:rsidRPr="005C325E" w:rsidRDefault="003C1387" w:rsidP="00CA6CE6">
      <w:pPr>
        <w:spacing w:before="120" w:after="120"/>
        <w:rPr>
          <w:bCs/>
        </w:rPr>
      </w:pPr>
      <w:r w:rsidRPr="005C325E">
        <w:rPr>
          <w:bCs/>
        </w:rPr>
        <w:t>ОБСЛУЖИВАНИЕ</w:t>
      </w:r>
      <w:r w:rsidR="00D7771B" w:rsidRPr="005C325E">
        <w:rPr>
          <w:bCs/>
        </w:rPr>
        <w:t xml:space="preserve"> СЧЁТ</w:t>
      </w:r>
      <w:r w:rsidR="00860221" w:rsidRPr="005C325E">
        <w:rPr>
          <w:bCs/>
        </w:rPr>
        <w:t>А</w:t>
      </w:r>
    </w:p>
    <w:p w14:paraId="5089842F" w14:textId="77777777" w:rsidR="003C1387" w:rsidRPr="005C325E" w:rsidRDefault="001149F3" w:rsidP="003C1387">
      <w:pPr>
        <w:pStyle w:val="a4"/>
        <w:spacing w:line="240" w:lineRule="auto"/>
        <w:rPr>
          <w:b/>
        </w:rPr>
      </w:pPr>
      <w:r w:rsidRPr="005C325E">
        <w:rPr>
          <w:bCs/>
        </w:rPr>
        <w:t>Минимальное вознаграждение</w:t>
      </w:r>
      <w:r w:rsidR="003C1387" w:rsidRPr="005C325E">
        <w:rPr>
          <w:bCs/>
        </w:rPr>
        <w:t xml:space="preserve"> </w:t>
      </w:r>
      <w:r w:rsidR="0023435D" w:rsidRPr="005C325E">
        <w:rPr>
          <w:bCs/>
        </w:rPr>
        <w:t>РЕГИОНА</w:t>
      </w:r>
      <w:r w:rsidR="00B07DD6" w:rsidRPr="005C325E">
        <w:rPr>
          <w:bCs/>
        </w:rPr>
        <w:t xml:space="preserve"> </w:t>
      </w:r>
      <w:r w:rsidR="003C1387" w:rsidRPr="005C325E">
        <w:rPr>
          <w:bCs/>
        </w:rPr>
        <w:t xml:space="preserve">за обслуживание брокерского счёта </w:t>
      </w:r>
      <w:r w:rsidR="00B07DD6" w:rsidRPr="005C325E">
        <w:rPr>
          <w:bCs/>
        </w:rPr>
        <w:t>-</w:t>
      </w:r>
      <w:r w:rsidR="003C1387" w:rsidRPr="005C325E">
        <w:t xml:space="preserve"> </w:t>
      </w:r>
      <w:r w:rsidR="003C1387" w:rsidRPr="005C325E">
        <w:rPr>
          <w:b/>
        </w:rPr>
        <w:t>199 рублей в месяц</w:t>
      </w:r>
    </w:p>
    <w:p w14:paraId="46A0E6B3" w14:textId="77777777" w:rsidR="003E0D69" w:rsidRPr="005C325E" w:rsidRDefault="003E0D69" w:rsidP="003E0D69">
      <w:pPr>
        <w:tabs>
          <w:tab w:val="num" w:pos="1260"/>
        </w:tabs>
        <w:jc w:val="both"/>
      </w:pPr>
    </w:p>
    <w:p w14:paraId="25BF42E3" w14:textId="77777777" w:rsidR="003E0D69" w:rsidRPr="005C325E" w:rsidRDefault="003E0D69" w:rsidP="003E0D69">
      <w:pPr>
        <w:tabs>
          <w:tab w:val="num" w:pos="1260"/>
        </w:tabs>
        <w:jc w:val="both"/>
        <w:rPr>
          <w:bCs/>
          <w:iCs/>
        </w:rPr>
      </w:pPr>
      <w:r w:rsidRPr="005C325E">
        <w:rPr>
          <w:bCs/>
        </w:rPr>
        <w:t xml:space="preserve">Минимальное вознаграждение РЕГИОНА за обслуживание брокерского счёта взимается </w:t>
      </w:r>
      <w:r w:rsidRPr="005C325E">
        <w:rPr>
          <w:bCs/>
          <w:iCs/>
        </w:rPr>
        <w:t xml:space="preserve">при одновременном соблюдении следующих условий: </w:t>
      </w:r>
    </w:p>
    <w:p w14:paraId="3575BA7C" w14:textId="77777777" w:rsidR="003E0D69" w:rsidRPr="005C325E" w:rsidRDefault="003E0D69" w:rsidP="00A606C8">
      <w:pPr>
        <w:pStyle w:val="a4"/>
        <w:numPr>
          <w:ilvl w:val="0"/>
          <w:numId w:val="29"/>
        </w:numPr>
        <w:spacing w:line="240" w:lineRule="auto"/>
        <w:ind w:left="397" w:hanging="284"/>
        <w:rPr>
          <w:bCs/>
          <w:iCs/>
        </w:rPr>
      </w:pPr>
      <w:r w:rsidRPr="005C325E">
        <w:rPr>
          <w:bCs/>
          <w:iCs/>
        </w:rPr>
        <w:t>Стоимость всех Портфелей Клиента составляет менее 100 тысяч рублей;</w:t>
      </w:r>
    </w:p>
    <w:p w14:paraId="007FED7C" w14:textId="77777777" w:rsidR="003E0D69" w:rsidRPr="005C325E" w:rsidRDefault="003E0D69" w:rsidP="00A606C8">
      <w:pPr>
        <w:pStyle w:val="a4"/>
        <w:numPr>
          <w:ilvl w:val="0"/>
          <w:numId w:val="29"/>
        </w:numPr>
        <w:spacing w:line="240" w:lineRule="auto"/>
        <w:ind w:left="397" w:hanging="284"/>
        <w:rPr>
          <w:bCs/>
          <w:iCs/>
        </w:rPr>
      </w:pPr>
      <w:r w:rsidRPr="005C325E">
        <w:rPr>
          <w:bCs/>
          <w:iCs/>
        </w:rPr>
        <w:t>Размер вознаграждения РЕГИОНА за заключение сделок в соответствующем месяце составляет 199 рублей</w:t>
      </w:r>
      <w:r w:rsidR="00D7771B" w:rsidRPr="005C325E">
        <w:rPr>
          <w:bCs/>
          <w:iCs/>
        </w:rPr>
        <w:t xml:space="preserve"> или менее</w:t>
      </w:r>
      <w:r w:rsidRPr="005C325E">
        <w:rPr>
          <w:bCs/>
          <w:iCs/>
        </w:rPr>
        <w:t>.</w:t>
      </w:r>
    </w:p>
    <w:p w14:paraId="46C657A2" w14:textId="77777777" w:rsidR="00B07DD6" w:rsidRPr="005C325E" w:rsidRDefault="00B07DD6" w:rsidP="003C1387">
      <w:pPr>
        <w:pStyle w:val="a4"/>
        <w:spacing w:line="240" w:lineRule="auto"/>
        <w:rPr>
          <w:b/>
        </w:rPr>
      </w:pPr>
    </w:p>
    <w:p w14:paraId="421CB46D" w14:textId="77777777" w:rsidR="00B87B13" w:rsidRPr="005C325E" w:rsidRDefault="003C1387" w:rsidP="00CA6CE6">
      <w:pPr>
        <w:spacing w:before="120" w:after="120"/>
        <w:rPr>
          <w:bCs/>
        </w:rPr>
      </w:pPr>
      <w:r w:rsidRPr="005C325E">
        <w:rPr>
          <w:bCs/>
        </w:rPr>
        <w:t>ФОНДОВ</w:t>
      </w:r>
      <w:r w:rsidR="00913F24" w:rsidRPr="005C325E">
        <w:rPr>
          <w:bCs/>
        </w:rPr>
        <w:t>ЫЙ</w:t>
      </w:r>
      <w:r w:rsidRPr="005C325E">
        <w:rPr>
          <w:bCs/>
        </w:rPr>
        <w:t xml:space="preserve"> РЫН</w:t>
      </w:r>
      <w:r w:rsidR="00913F24" w:rsidRPr="005C325E">
        <w:rPr>
          <w:bCs/>
        </w:rPr>
        <w:t>ОК</w:t>
      </w:r>
      <w:r w:rsidRPr="005C325E">
        <w:rPr>
          <w:bCs/>
        </w:rPr>
        <w:t xml:space="preserve"> МОСКОВСК</w:t>
      </w:r>
      <w:r w:rsidR="00913F24" w:rsidRPr="005C325E">
        <w:rPr>
          <w:bCs/>
        </w:rPr>
        <w:t>ОЙ</w:t>
      </w:r>
      <w:r w:rsidRPr="005C325E">
        <w:rPr>
          <w:bCs/>
        </w:rPr>
        <w:t xml:space="preserve"> БИРЖ</w:t>
      </w:r>
      <w:r w:rsidR="00913F24" w:rsidRPr="005C325E">
        <w:rPr>
          <w:bCs/>
        </w:rPr>
        <w:t>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103"/>
      </w:tblGrid>
      <w:tr w:rsidR="005C325E" w:rsidRPr="005C325E" w14:paraId="05981570" w14:textId="77777777" w:rsidTr="00913F24">
        <w:trPr>
          <w:cantSplit/>
          <w:trHeight w:val="781"/>
        </w:trPr>
        <w:tc>
          <w:tcPr>
            <w:tcW w:w="10456" w:type="dxa"/>
            <w:gridSpan w:val="2"/>
            <w:shd w:val="clear" w:color="auto" w:fill="E0E0E0"/>
            <w:vAlign w:val="center"/>
          </w:tcPr>
          <w:p w14:paraId="62427EFB" w14:textId="77777777" w:rsidR="00AA2C20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</w:t>
            </w:r>
            <w:r w:rsidR="00AA2C20" w:rsidRPr="005C325E">
              <w:rPr>
                <w:iCs/>
              </w:rPr>
              <w:t xml:space="preserve">ли-продажи с ценными бумагами. </w:t>
            </w:r>
          </w:p>
          <w:p w14:paraId="2C0E44AB" w14:textId="77777777" w:rsidR="00913F24" w:rsidRPr="005C325E" w:rsidRDefault="00AA2C20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Р</w:t>
            </w:r>
            <w:r w:rsidR="00913F24" w:rsidRPr="005C325E">
              <w:rPr>
                <w:iCs/>
              </w:rPr>
              <w:t>асчеты по сделке в валюте РФ</w:t>
            </w:r>
          </w:p>
          <w:p w14:paraId="3A6D13A9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iCs/>
              </w:rPr>
              <w:t>Подача Поручений с использованием системы интернет-трейдинга.</w:t>
            </w:r>
          </w:p>
        </w:tc>
      </w:tr>
      <w:tr w:rsidR="005C325E" w:rsidRPr="005C325E" w14:paraId="742D8403" w14:textId="77777777" w:rsidTr="00913F24">
        <w:trPr>
          <w:trHeight w:val="343"/>
        </w:trPr>
        <w:tc>
          <w:tcPr>
            <w:tcW w:w="5353" w:type="dxa"/>
            <w:vAlign w:val="center"/>
          </w:tcPr>
          <w:p w14:paraId="367B1167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103" w:type="dxa"/>
            <w:vAlign w:val="center"/>
          </w:tcPr>
          <w:p w14:paraId="2A575A3C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4C98A472" w14:textId="77777777" w:rsidTr="00913F24">
        <w:trPr>
          <w:cantSplit/>
          <w:trHeight w:val="305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112E6D97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до 1 000 000 включительно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D2EEF21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0,055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615574F2" w14:textId="77777777" w:rsidTr="00913F24">
        <w:trPr>
          <w:cantSplit/>
          <w:trHeight w:val="31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16E992FE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свыше 1 000 000 до 10 000 000 включительно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9B8CB21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0,034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2AFF1689" w14:textId="77777777" w:rsidTr="00913F24">
        <w:trPr>
          <w:cantSplit/>
          <w:trHeight w:val="31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26745E74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свыше 10 000 000 до 50 000 000 включительно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9584941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0,025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5A72A9D9" w14:textId="77777777" w:rsidTr="00913F24">
        <w:trPr>
          <w:cantSplit/>
          <w:trHeight w:val="305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17104A08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свыше 50 000 000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6F4DA96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0,014</w:t>
            </w:r>
            <w:r w:rsidRPr="005C325E">
              <w:rPr>
                <w:iCs/>
              </w:rPr>
              <w:t>%</w:t>
            </w:r>
          </w:p>
        </w:tc>
      </w:tr>
    </w:tbl>
    <w:tbl>
      <w:tblPr>
        <w:tblpPr w:leftFromText="180" w:rightFromText="180" w:vertAnchor="text" w:horzAnchor="margin" w:tblpY="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3ED1D1F1" w14:textId="77777777" w:rsidTr="00AA2C20">
        <w:trPr>
          <w:cantSplit/>
          <w:trHeight w:val="775"/>
        </w:trPr>
        <w:tc>
          <w:tcPr>
            <w:tcW w:w="10456" w:type="dxa"/>
            <w:shd w:val="clear" w:color="auto" w:fill="E0E0E0"/>
            <w:vAlign w:val="center"/>
          </w:tcPr>
          <w:p w14:paraId="7BEABF3F" w14:textId="77777777" w:rsidR="00AA2C20" w:rsidRPr="005C325E" w:rsidRDefault="00AA2C20" w:rsidP="00AA2C20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 xml:space="preserve">Заключение сделок купли-продажи с ценными бумагами. </w:t>
            </w:r>
          </w:p>
          <w:p w14:paraId="77B7D6C9" w14:textId="77777777" w:rsidR="00AA2C20" w:rsidRPr="005C325E" w:rsidRDefault="00AA2C20" w:rsidP="00AA2C20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 xml:space="preserve">Расчеты по сделке в иностранной валюте. </w:t>
            </w:r>
          </w:p>
          <w:p w14:paraId="62B7C372" w14:textId="77777777" w:rsidR="00AA2C20" w:rsidRPr="005C325E" w:rsidRDefault="00AA2C20" w:rsidP="00AA2C20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Подача Поручений с использованием системы интернет-трейдинга</w:t>
            </w:r>
          </w:p>
        </w:tc>
      </w:tr>
      <w:tr w:rsidR="005C325E" w:rsidRPr="005C325E" w14:paraId="6A4EB9DA" w14:textId="77777777" w:rsidTr="00AA2C20">
        <w:trPr>
          <w:cantSplit/>
          <w:trHeight w:val="35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26FE91D" w14:textId="77777777" w:rsidR="00AA2C20" w:rsidRPr="005C325E" w:rsidRDefault="00AA2C20" w:rsidP="00AA2C20">
            <w:pPr>
              <w:tabs>
                <w:tab w:val="num" w:pos="1260"/>
              </w:tabs>
              <w:jc w:val="center"/>
            </w:pPr>
            <w:r w:rsidRPr="005C325E">
              <w:t>0,1% от оборота за день</w:t>
            </w:r>
          </w:p>
        </w:tc>
      </w:tr>
    </w:tbl>
    <w:p w14:paraId="693CC280" w14:textId="77777777" w:rsidR="00AA2C20" w:rsidRPr="005C325E" w:rsidRDefault="00AA2C2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0BCE4CB1" w14:textId="77777777" w:rsidTr="00180FB2">
        <w:trPr>
          <w:cantSplit/>
          <w:trHeight w:val="739"/>
        </w:trPr>
        <w:tc>
          <w:tcPr>
            <w:tcW w:w="10456" w:type="dxa"/>
            <w:shd w:val="clear" w:color="auto" w:fill="E0E0E0"/>
            <w:vAlign w:val="center"/>
          </w:tcPr>
          <w:p w14:paraId="5AFE8E54" w14:textId="77777777" w:rsidR="007C7A1A" w:rsidRPr="005C325E" w:rsidRDefault="007C7A1A" w:rsidP="00AA2C20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купли-продажи с ценными бумагами</w:t>
            </w:r>
          </w:p>
          <w:p w14:paraId="72A70095" w14:textId="77777777" w:rsidR="007C7A1A" w:rsidRPr="005C325E" w:rsidRDefault="007C7A1A" w:rsidP="00AA2C20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Подача Поручений без использования системы интернет-трейдинга</w:t>
            </w:r>
          </w:p>
        </w:tc>
      </w:tr>
      <w:tr w:rsidR="007C7A1A" w:rsidRPr="005C325E" w14:paraId="137733A3" w14:textId="77777777" w:rsidTr="00180FB2">
        <w:trPr>
          <w:cantSplit/>
          <w:trHeight w:val="409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0460DFD2" w14:textId="77777777" w:rsidR="007C7A1A" w:rsidRPr="005C325E" w:rsidRDefault="007C7A1A" w:rsidP="00AA2C20">
            <w:pPr>
              <w:tabs>
                <w:tab w:val="num" w:pos="1260"/>
              </w:tabs>
              <w:jc w:val="center"/>
            </w:pPr>
            <w:r w:rsidRPr="005C325E">
              <w:t>0,1% от оборота за день</w:t>
            </w:r>
          </w:p>
        </w:tc>
      </w:tr>
    </w:tbl>
    <w:p w14:paraId="5F04BE78" w14:textId="77777777" w:rsidR="00913F24" w:rsidRPr="005C325E" w:rsidRDefault="00913F24" w:rsidP="00AA2C20">
      <w:pPr>
        <w:rPr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41C907B3" w14:textId="77777777" w:rsidTr="00913F24">
        <w:trPr>
          <w:cantSplit/>
          <w:trHeight w:val="749"/>
        </w:trPr>
        <w:tc>
          <w:tcPr>
            <w:tcW w:w="10456" w:type="dxa"/>
            <w:shd w:val="clear" w:color="auto" w:fill="E0E0E0"/>
            <w:vAlign w:val="center"/>
          </w:tcPr>
          <w:p w14:paraId="540BDBA8" w14:textId="77777777" w:rsidR="00913F24" w:rsidRPr="005C325E" w:rsidRDefault="00913F24" w:rsidP="00AA2C20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по покупке ценных бумаг в процессе размещения</w:t>
            </w:r>
          </w:p>
          <w:p w14:paraId="65F6A29B" w14:textId="77777777" w:rsidR="00913F24" w:rsidRPr="005C325E" w:rsidRDefault="00913F24" w:rsidP="00AA2C20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(кроме краткосрочных облигаций российских эмитентов)</w:t>
            </w:r>
          </w:p>
        </w:tc>
      </w:tr>
      <w:tr w:rsidR="00913F24" w:rsidRPr="005C325E" w14:paraId="248EA36E" w14:textId="77777777" w:rsidTr="00913F24">
        <w:trPr>
          <w:cantSplit/>
          <w:trHeight w:val="46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58392D60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0,1% от оборота за день</w:t>
            </w:r>
          </w:p>
        </w:tc>
      </w:tr>
    </w:tbl>
    <w:p w14:paraId="0F20677D" w14:textId="77777777" w:rsidR="00AA2C20" w:rsidRPr="005C325E" w:rsidRDefault="00AA2C2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4E531EA0" w14:textId="77777777" w:rsidTr="00913F24">
        <w:trPr>
          <w:cantSplit/>
          <w:trHeight w:val="829"/>
        </w:trPr>
        <w:tc>
          <w:tcPr>
            <w:tcW w:w="10456" w:type="dxa"/>
            <w:shd w:val="clear" w:color="auto" w:fill="E0E0E0"/>
            <w:vAlign w:val="center"/>
          </w:tcPr>
          <w:p w14:paraId="692EE68C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по покупке краткосрочных облигаций российских эмитентов</w:t>
            </w:r>
          </w:p>
          <w:p w14:paraId="474F7548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(в том числе в процессе их размещения)</w:t>
            </w:r>
          </w:p>
        </w:tc>
      </w:tr>
      <w:tr w:rsidR="00913F24" w:rsidRPr="005C325E" w14:paraId="2F4CB362" w14:textId="77777777" w:rsidTr="00913F24">
        <w:trPr>
          <w:cantSplit/>
          <w:trHeight w:val="41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65CAC74D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0,3 % годовых от суммы сделки включая накопленный купонный доход</w:t>
            </w:r>
          </w:p>
        </w:tc>
      </w:tr>
    </w:tbl>
    <w:p w14:paraId="2C8A8B59" w14:textId="77777777" w:rsidR="00AA2C20" w:rsidRPr="005C325E" w:rsidRDefault="00AA2C2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49DE4208" w14:textId="77777777" w:rsidTr="00913F24">
        <w:trPr>
          <w:cantSplit/>
          <w:trHeight w:val="430"/>
        </w:trPr>
        <w:tc>
          <w:tcPr>
            <w:tcW w:w="10456" w:type="dxa"/>
            <w:shd w:val="clear" w:color="auto" w:fill="E0E0E0"/>
            <w:vAlign w:val="center"/>
          </w:tcPr>
          <w:p w14:paraId="5A109984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lastRenderedPageBreak/>
              <w:t>Заключение сделок по продаже краткосрочных облигаций российских эмитентов</w:t>
            </w:r>
          </w:p>
        </w:tc>
      </w:tr>
      <w:tr w:rsidR="005C325E" w:rsidRPr="005C325E" w14:paraId="59787CDC" w14:textId="77777777" w:rsidTr="00913F24">
        <w:trPr>
          <w:cantSplit/>
          <w:trHeight w:val="317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6E980804" w14:textId="77777777" w:rsidR="00913F24" w:rsidRPr="005C325E" w:rsidRDefault="00913F24" w:rsidP="00913F24">
            <w:pPr>
              <w:tabs>
                <w:tab w:val="num" w:pos="1260"/>
              </w:tabs>
              <w:jc w:val="center"/>
            </w:pPr>
            <w:r w:rsidRPr="005C325E">
              <w:t>0,1% от оборота за день</w:t>
            </w:r>
          </w:p>
        </w:tc>
      </w:tr>
    </w:tbl>
    <w:p w14:paraId="7E5AE40D" w14:textId="77777777" w:rsidR="00AA2C20" w:rsidRPr="005C325E" w:rsidRDefault="00AA2C20" w:rsidP="00AA2C20">
      <w:pPr>
        <w:spacing w:before="120" w:after="120"/>
        <w:rPr>
          <w:bCs/>
          <w:caps/>
        </w:rPr>
      </w:pPr>
      <w:r w:rsidRPr="005C325E">
        <w:rPr>
          <w:bCs/>
          <w:caps/>
        </w:rPr>
        <w:t>срочнЫЙ рынОК ПАО Московская Биржа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6"/>
        <w:gridCol w:w="5074"/>
      </w:tblGrid>
      <w:tr w:rsidR="005C325E" w:rsidRPr="005C325E" w14:paraId="137D60F3" w14:textId="77777777" w:rsidTr="00725551">
        <w:trPr>
          <w:cantSplit/>
          <w:trHeight w:val="439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EBC8A5" w14:textId="77777777" w:rsidR="00AA2C20" w:rsidRPr="005C325E" w:rsidRDefault="00AA2C20" w:rsidP="00725551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срочных сделок</w:t>
            </w:r>
          </w:p>
        </w:tc>
      </w:tr>
      <w:tr w:rsidR="005C325E" w:rsidRPr="005C325E" w14:paraId="064D74F9" w14:textId="77777777" w:rsidTr="00725551">
        <w:trPr>
          <w:cantSplit/>
          <w:trHeight w:val="1112"/>
        </w:trPr>
        <w:tc>
          <w:tcPr>
            <w:tcW w:w="5416" w:type="dxa"/>
            <w:vAlign w:val="center"/>
          </w:tcPr>
          <w:p w14:paraId="4BFCF942" w14:textId="77777777" w:rsidR="00AA2C20" w:rsidRPr="005C325E" w:rsidRDefault="00AA2C20" w:rsidP="00725551">
            <w:pPr>
              <w:tabs>
                <w:tab w:val="num" w:pos="1260"/>
              </w:tabs>
            </w:pPr>
            <w:r w:rsidRPr="005C325E">
              <w:t>За каждый заключенный фьючерсный контракт или контракт на покупку/продажу одного опциона</w:t>
            </w:r>
          </w:p>
        </w:tc>
        <w:tc>
          <w:tcPr>
            <w:tcW w:w="5074" w:type="dxa"/>
            <w:vAlign w:val="center"/>
          </w:tcPr>
          <w:p w14:paraId="42F32E8B" w14:textId="77777777" w:rsidR="00AA2C20" w:rsidRPr="005C325E" w:rsidRDefault="00AA2C20" w:rsidP="00725551">
            <w:pPr>
              <w:tabs>
                <w:tab w:val="num" w:pos="1260"/>
              </w:tabs>
              <w:jc w:val="center"/>
            </w:pPr>
            <w:r w:rsidRPr="005C325E">
              <w:t>0,48 руб. за один контракт</w:t>
            </w:r>
          </w:p>
        </w:tc>
      </w:tr>
      <w:tr w:rsidR="005C325E" w:rsidRPr="005C325E" w14:paraId="0322EE4C" w14:textId="77777777" w:rsidTr="00725551">
        <w:trPr>
          <w:cantSplit/>
          <w:trHeight w:val="715"/>
        </w:trPr>
        <w:tc>
          <w:tcPr>
            <w:tcW w:w="5416" w:type="dxa"/>
            <w:vAlign w:val="center"/>
          </w:tcPr>
          <w:p w14:paraId="648D2C34" w14:textId="77777777" w:rsidR="00AA2C20" w:rsidRPr="005C325E" w:rsidRDefault="00AA2C20" w:rsidP="00725551">
            <w:pPr>
              <w:tabs>
                <w:tab w:val="num" w:pos="1260"/>
              </w:tabs>
              <w:jc w:val="center"/>
            </w:pPr>
            <w:r w:rsidRPr="005C325E">
              <w:t>Исполнение контракта на поставку ценных бумаг</w:t>
            </w:r>
          </w:p>
        </w:tc>
        <w:tc>
          <w:tcPr>
            <w:tcW w:w="5074" w:type="dxa"/>
            <w:vAlign w:val="center"/>
          </w:tcPr>
          <w:p w14:paraId="16E5A621" w14:textId="77777777" w:rsidR="00AA2C20" w:rsidRPr="005C325E" w:rsidRDefault="00AA2C20" w:rsidP="00725551">
            <w:pPr>
              <w:tabs>
                <w:tab w:val="num" w:pos="1260"/>
              </w:tabs>
              <w:jc w:val="center"/>
            </w:pPr>
            <w:r w:rsidRPr="005C325E">
              <w:t>0,1% от суммы исполнения, но не менее 100 руб.</w:t>
            </w:r>
          </w:p>
        </w:tc>
      </w:tr>
    </w:tbl>
    <w:p w14:paraId="6E1C96D3" w14:textId="77777777" w:rsidR="00AA2C20" w:rsidRPr="005C325E" w:rsidRDefault="00AA2C20" w:rsidP="00AA2C20">
      <w:pPr>
        <w:spacing w:before="120" w:after="120"/>
        <w:rPr>
          <w:bCs/>
          <w:caps/>
        </w:rPr>
      </w:pPr>
    </w:p>
    <w:p w14:paraId="59D305DA" w14:textId="77777777" w:rsidR="00AA2C20" w:rsidRPr="005C325E" w:rsidRDefault="00AA2C20" w:rsidP="00AA2C20">
      <w:pPr>
        <w:spacing w:before="120" w:after="120"/>
        <w:rPr>
          <w:bCs/>
          <w:caps/>
        </w:rPr>
      </w:pPr>
      <w:r w:rsidRPr="005C325E">
        <w:rPr>
          <w:bCs/>
          <w:caps/>
        </w:rPr>
        <w:t>внебиржевоЙ рынОК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C325E" w:rsidRPr="005C325E" w14:paraId="4C4D3F8F" w14:textId="77777777" w:rsidTr="00082851">
        <w:trPr>
          <w:cantSplit/>
          <w:trHeight w:val="4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946E04" w14:textId="77777777" w:rsidR="00AA2C20" w:rsidRPr="005C325E" w:rsidRDefault="00AA2C20" w:rsidP="00082851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внебиржевых сделок купли-продажи</w:t>
            </w:r>
            <w:r w:rsidRPr="005C325E">
              <w:t xml:space="preserve"> с ценными бумагами</w:t>
            </w:r>
          </w:p>
        </w:tc>
      </w:tr>
      <w:tr w:rsidR="005C325E" w:rsidRPr="005C325E" w14:paraId="7C1932A8" w14:textId="77777777" w:rsidTr="00082851">
        <w:trPr>
          <w:cantSplit/>
          <w:trHeight w:val="407"/>
        </w:trPr>
        <w:tc>
          <w:tcPr>
            <w:tcW w:w="10490" w:type="dxa"/>
            <w:vAlign w:val="center"/>
          </w:tcPr>
          <w:p w14:paraId="4A8C1BF4" w14:textId="77777777" w:rsidR="00AA2C20" w:rsidRPr="005C325E" w:rsidRDefault="00AA2C20" w:rsidP="00082851">
            <w:pPr>
              <w:tabs>
                <w:tab w:val="num" w:pos="1260"/>
              </w:tabs>
              <w:jc w:val="center"/>
            </w:pPr>
            <w:r w:rsidRPr="005C325E">
              <w:t>0,15% от оборота за день</w:t>
            </w:r>
          </w:p>
        </w:tc>
      </w:tr>
      <w:tr w:rsidR="005C325E" w:rsidRPr="005C325E" w14:paraId="7BCFD978" w14:textId="77777777" w:rsidTr="00082851">
        <w:trPr>
          <w:cantSplit/>
          <w:trHeight w:val="40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6DB9611F" w14:textId="77777777" w:rsidR="00AA2C20" w:rsidRPr="005C325E" w:rsidRDefault="00AA2C20" w:rsidP="00082851">
            <w:pPr>
              <w:spacing w:before="120" w:after="120"/>
              <w:jc w:val="center"/>
              <w:rPr>
                <w:bCs/>
                <w:caps/>
              </w:rPr>
            </w:pPr>
            <w:r w:rsidRPr="005C325E">
              <w:rPr>
                <w:iCs/>
              </w:rPr>
              <w:t>Минимальное вознаграждение:</w:t>
            </w:r>
            <w:r w:rsidRPr="005C325E">
              <w:t xml:space="preserve"> 550 рублей за сделку с расчётами в валюте РФ, не менее 1400 рублей за сделку с расчётами в иностранной валюте</w:t>
            </w:r>
          </w:p>
        </w:tc>
      </w:tr>
    </w:tbl>
    <w:p w14:paraId="6FD6D07E" w14:textId="77777777" w:rsidR="00AA2C20" w:rsidRPr="005C325E" w:rsidRDefault="00AA2C20" w:rsidP="00EB3397">
      <w:pPr>
        <w:spacing w:before="120" w:after="120"/>
        <w:rPr>
          <w:bCs/>
        </w:rPr>
      </w:pPr>
    </w:p>
    <w:p w14:paraId="1F097460" w14:textId="77777777" w:rsidR="009C4C98" w:rsidRPr="005C325E" w:rsidRDefault="00E403C9" w:rsidP="00EB3397">
      <w:pPr>
        <w:spacing w:before="120" w:after="120"/>
        <w:rPr>
          <w:bCs/>
        </w:rPr>
      </w:pPr>
      <w:r w:rsidRPr="005C325E">
        <w:rPr>
          <w:bCs/>
        </w:rPr>
        <w:t>ВАЛЮТН</w:t>
      </w:r>
      <w:r w:rsidR="007C7A1A" w:rsidRPr="005C325E">
        <w:rPr>
          <w:bCs/>
        </w:rPr>
        <w:t>ЫЙ</w:t>
      </w:r>
      <w:r w:rsidRPr="005C325E">
        <w:rPr>
          <w:bCs/>
        </w:rPr>
        <w:t xml:space="preserve"> РЫН</w:t>
      </w:r>
      <w:r w:rsidR="007C7A1A" w:rsidRPr="005C325E">
        <w:rPr>
          <w:bCs/>
        </w:rPr>
        <w:t>ОК</w:t>
      </w:r>
      <w:r w:rsidRPr="005C325E">
        <w:rPr>
          <w:bCs/>
        </w:rPr>
        <w:t xml:space="preserve"> ПАО МОСКОВСКАЯ БИРЖА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103"/>
      </w:tblGrid>
      <w:tr w:rsidR="005C325E" w:rsidRPr="005C325E" w14:paraId="534635DC" w14:textId="77777777" w:rsidTr="00913F24">
        <w:trPr>
          <w:cantSplit/>
          <w:trHeight w:val="806"/>
        </w:trPr>
        <w:tc>
          <w:tcPr>
            <w:tcW w:w="10456" w:type="dxa"/>
            <w:gridSpan w:val="2"/>
            <w:shd w:val="clear" w:color="auto" w:fill="E0E0E0"/>
            <w:vAlign w:val="center"/>
          </w:tcPr>
          <w:p w14:paraId="48C2516E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>Заключение сделок купли-продажи иностранной валюты</w:t>
            </w:r>
            <w:r w:rsidR="00AA2C20" w:rsidRPr="005C325E">
              <w:rPr>
                <w:bCs/>
                <w:iCs/>
              </w:rPr>
              <w:t>.</w:t>
            </w:r>
          </w:p>
          <w:p w14:paraId="61BAB888" w14:textId="77777777" w:rsidR="00913F24" w:rsidRPr="005C325E" w:rsidRDefault="007C7A1A" w:rsidP="00913F24">
            <w:pPr>
              <w:tabs>
                <w:tab w:val="num" w:pos="1260"/>
              </w:tabs>
              <w:jc w:val="center"/>
              <w:rPr>
                <w:b/>
                <w:bCs/>
                <w:i/>
                <w:iCs/>
              </w:rPr>
            </w:pPr>
            <w:r w:rsidRPr="005C325E">
              <w:rPr>
                <w:iCs/>
              </w:rPr>
              <w:t>П</w:t>
            </w:r>
            <w:r w:rsidR="00913F24" w:rsidRPr="005C325E">
              <w:rPr>
                <w:iCs/>
              </w:rPr>
              <w:t>одача Поручений с использованием системы интернет-трейдинга</w:t>
            </w:r>
          </w:p>
        </w:tc>
      </w:tr>
      <w:tr w:rsidR="005C325E" w:rsidRPr="005C325E" w14:paraId="7A3A9181" w14:textId="77777777" w:rsidTr="00913F24">
        <w:trPr>
          <w:trHeight w:val="467"/>
        </w:trPr>
        <w:tc>
          <w:tcPr>
            <w:tcW w:w="5353" w:type="dxa"/>
            <w:vAlign w:val="center"/>
          </w:tcPr>
          <w:p w14:paraId="478D2DCF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103" w:type="dxa"/>
            <w:vAlign w:val="center"/>
          </w:tcPr>
          <w:p w14:paraId="0E2345D4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107EC0A2" w14:textId="77777777" w:rsidTr="00C5614E">
        <w:trPr>
          <w:cantSplit/>
          <w:trHeight w:val="305"/>
        </w:trPr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33ED0A9C" w14:textId="77777777" w:rsidR="007C7A1A" w:rsidRPr="005C325E" w:rsidRDefault="007C7A1A" w:rsidP="007C7A1A">
            <w:pPr>
              <w:tabs>
                <w:tab w:val="num" w:pos="1260"/>
              </w:tabs>
              <w:jc w:val="center"/>
            </w:pPr>
            <w:r w:rsidRPr="005C325E">
              <w:t>До 2 500 000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27BCC92E" w14:textId="77777777" w:rsidR="007C7A1A" w:rsidRPr="005C325E" w:rsidRDefault="007C7A1A" w:rsidP="00ED56F7">
            <w:pPr>
              <w:tabs>
                <w:tab w:val="num" w:pos="1260"/>
              </w:tabs>
              <w:jc w:val="center"/>
            </w:pPr>
            <w:r w:rsidRPr="005C325E">
              <w:t>0,0</w:t>
            </w:r>
            <w:r w:rsidR="00ED56F7" w:rsidRPr="005C325E">
              <w:t>7</w:t>
            </w:r>
            <w:r w:rsidRPr="005C325E">
              <w:t>%</w:t>
            </w:r>
          </w:p>
        </w:tc>
      </w:tr>
      <w:tr w:rsidR="005C325E" w:rsidRPr="005C325E" w14:paraId="7A03FD71" w14:textId="77777777" w:rsidTr="00C5614E">
        <w:trPr>
          <w:cantSplit/>
          <w:trHeight w:val="317"/>
        </w:trPr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69B0AEF0" w14:textId="77777777" w:rsidR="007C7A1A" w:rsidRPr="005C325E" w:rsidRDefault="007C7A1A" w:rsidP="007C7A1A">
            <w:pPr>
              <w:tabs>
                <w:tab w:val="num" w:pos="1260"/>
              </w:tabs>
              <w:jc w:val="center"/>
            </w:pPr>
            <w:r w:rsidRPr="005C325E">
              <w:t>От 2 500 000,01 до 5 000 000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3A340DD8" w14:textId="77777777" w:rsidR="007C7A1A" w:rsidRPr="005C325E" w:rsidRDefault="00ED56F7" w:rsidP="007C7A1A">
            <w:pPr>
              <w:tabs>
                <w:tab w:val="num" w:pos="1260"/>
              </w:tabs>
              <w:jc w:val="center"/>
            </w:pPr>
            <w:r w:rsidRPr="005C325E">
              <w:t>0,06</w:t>
            </w:r>
            <w:r w:rsidR="007C7A1A" w:rsidRPr="005C325E">
              <w:t>%</w:t>
            </w:r>
          </w:p>
        </w:tc>
      </w:tr>
      <w:tr w:rsidR="005C325E" w:rsidRPr="005C325E" w14:paraId="7B2E6AFD" w14:textId="77777777" w:rsidTr="00C5614E">
        <w:trPr>
          <w:cantSplit/>
          <w:trHeight w:val="317"/>
        </w:trPr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061EE06D" w14:textId="77777777" w:rsidR="007C7A1A" w:rsidRPr="005C325E" w:rsidRDefault="007C7A1A" w:rsidP="007C7A1A">
            <w:pPr>
              <w:tabs>
                <w:tab w:val="num" w:pos="1260"/>
              </w:tabs>
              <w:jc w:val="center"/>
            </w:pPr>
            <w:r w:rsidRPr="005C325E">
              <w:t>От 5 000 000,01 до 10 000 000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69945930" w14:textId="77777777" w:rsidR="007C7A1A" w:rsidRPr="005C325E" w:rsidRDefault="00ED56F7" w:rsidP="007C7A1A">
            <w:pPr>
              <w:tabs>
                <w:tab w:val="num" w:pos="1260"/>
              </w:tabs>
              <w:jc w:val="center"/>
            </w:pPr>
            <w:r w:rsidRPr="005C325E">
              <w:t>0,04</w:t>
            </w:r>
            <w:r w:rsidR="007C7A1A" w:rsidRPr="005C325E">
              <w:t>5%</w:t>
            </w:r>
          </w:p>
        </w:tc>
      </w:tr>
      <w:tr w:rsidR="005C325E" w:rsidRPr="005C325E" w14:paraId="7F7541D9" w14:textId="77777777" w:rsidTr="00C5614E">
        <w:trPr>
          <w:cantSplit/>
          <w:trHeight w:val="305"/>
        </w:trPr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3ECB62F9" w14:textId="77777777" w:rsidR="007C7A1A" w:rsidRPr="005C325E" w:rsidRDefault="007C7A1A" w:rsidP="007C7A1A">
            <w:pPr>
              <w:tabs>
                <w:tab w:val="num" w:pos="1260"/>
              </w:tabs>
              <w:jc w:val="center"/>
            </w:pPr>
            <w:r w:rsidRPr="005C325E">
              <w:t>От 10 000 000,01 до 30 000 000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1BA0B610" w14:textId="77777777" w:rsidR="007C7A1A" w:rsidRPr="005C325E" w:rsidRDefault="00ED56F7" w:rsidP="007C7A1A">
            <w:pPr>
              <w:tabs>
                <w:tab w:val="num" w:pos="1260"/>
              </w:tabs>
              <w:jc w:val="center"/>
            </w:pPr>
            <w:r w:rsidRPr="005C325E">
              <w:t>0,035</w:t>
            </w:r>
            <w:r w:rsidR="007C7A1A" w:rsidRPr="005C325E">
              <w:t>%</w:t>
            </w:r>
          </w:p>
        </w:tc>
      </w:tr>
      <w:tr w:rsidR="005C325E" w:rsidRPr="005C325E" w14:paraId="41B22C82" w14:textId="77777777" w:rsidTr="00C5614E">
        <w:trPr>
          <w:cantSplit/>
          <w:trHeight w:val="305"/>
        </w:trPr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14:paraId="506C3152" w14:textId="77777777" w:rsidR="007C7A1A" w:rsidRPr="005C325E" w:rsidRDefault="007C7A1A" w:rsidP="007C7A1A">
            <w:pPr>
              <w:tabs>
                <w:tab w:val="num" w:pos="1260"/>
              </w:tabs>
              <w:jc w:val="center"/>
            </w:pPr>
            <w:r w:rsidRPr="005C325E">
              <w:t>Свыше 30 000 000,01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61ACEAA2" w14:textId="77777777" w:rsidR="007C7A1A" w:rsidRPr="005C325E" w:rsidRDefault="00ED56F7" w:rsidP="007C7A1A">
            <w:pPr>
              <w:tabs>
                <w:tab w:val="num" w:pos="1260"/>
              </w:tabs>
              <w:jc w:val="center"/>
            </w:pPr>
            <w:r w:rsidRPr="005C325E">
              <w:t>0,025</w:t>
            </w:r>
            <w:r w:rsidR="007C7A1A" w:rsidRPr="005C325E">
              <w:t>%</w:t>
            </w:r>
          </w:p>
        </w:tc>
      </w:tr>
      <w:tr w:rsidR="00AA2C20" w:rsidRPr="005C325E" w14:paraId="3365A686" w14:textId="77777777" w:rsidTr="00170835">
        <w:trPr>
          <w:cantSplit/>
          <w:trHeight w:val="305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bottom"/>
          </w:tcPr>
          <w:p w14:paraId="6B624107" w14:textId="77777777" w:rsidR="00AA2C20" w:rsidRPr="005C325E" w:rsidRDefault="00AA2C20" w:rsidP="00AA2C20">
            <w:pPr>
              <w:tabs>
                <w:tab w:val="num" w:pos="1260"/>
              </w:tabs>
              <w:jc w:val="center"/>
            </w:pPr>
            <w:r w:rsidRPr="005C325E">
              <w:t>Минимальное вознаграждение за сделку составляет 5 рублей.</w:t>
            </w:r>
          </w:p>
        </w:tc>
      </w:tr>
    </w:tbl>
    <w:p w14:paraId="5DB23B9E" w14:textId="77777777" w:rsidR="00AA2C20" w:rsidRPr="005C325E" w:rsidRDefault="00AA2C2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5FFB8FC3" w14:textId="77777777" w:rsidTr="00913F24">
        <w:trPr>
          <w:cantSplit/>
          <w:trHeight w:val="832"/>
        </w:trPr>
        <w:tc>
          <w:tcPr>
            <w:tcW w:w="10456" w:type="dxa"/>
            <w:shd w:val="clear" w:color="auto" w:fill="E0E0E0"/>
            <w:vAlign w:val="center"/>
          </w:tcPr>
          <w:p w14:paraId="19A60D8B" w14:textId="77777777" w:rsidR="00913F24" w:rsidRPr="005C325E" w:rsidRDefault="00913F24" w:rsidP="00913F24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>Заключение сделок купли-продажи иностранной валюты</w:t>
            </w:r>
            <w:r w:rsidR="00AA2C20" w:rsidRPr="005C325E">
              <w:rPr>
                <w:bCs/>
                <w:iCs/>
              </w:rPr>
              <w:t>.</w:t>
            </w:r>
          </w:p>
          <w:p w14:paraId="12624B9D" w14:textId="77777777" w:rsidR="00913F24" w:rsidRPr="005C325E" w:rsidRDefault="007C7A1A" w:rsidP="00913F24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Подача Поручений без</w:t>
            </w:r>
            <w:r w:rsidR="00AA2C20" w:rsidRPr="005C325E">
              <w:rPr>
                <w:iCs/>
              </w:rPr>
              <w:t xml:space="preserve"> </w:t>
            </w:r>
            <w:proofErr w:type="spellStart"/>
            <w:r w:rsidR="00AA2C20" w:rsidRPr="005C325E">
              <w:rPr>
                <w:iCs/>
              </w:rPr>
              <w:t>исполь</w:t>
            </w:r>
            <w:r w:rsidRPr="005C325E">
              <w:rPr>
                <w:iCs/>
              </w:rPr>
              <w:t>ования</w:t>
            </w:r>
            <w:proofErr w:type="spellEnd"/>
            <w:r w:rsidRPr="005C325E">
              <w:rPr>
                <w:iCs/>
              </w:rPr>
              <w:t xml:space="preserve"> системы интернет-трейдинга</w:t>
            </w:r>
          </w:p>
        </w:tc>
      </w:tr>
      <w:tr w:rsidR="005C325E" w:rsidRPr="005C325E" w14:paraId="026A8543" w14:textId="77777777" w:rsidTr="00AA2C20">
        <w:trPr>
          <w:cantSplit/>
          <w:trHeight w:val="433"/>
        </w:trPr>
        <w:tc>
          <w:tcPr>
            <w:tcW w:w="10456" w:type="dxa"/>
            <w:vAlign w:val="center"/>
          </w:tcPr>
          <w:p w14:paraId="50C721DA" w14:textId="77777777" w:rsidR="00913F24" w:rsidRPr="005C325E" w:rsidRDefault="00913F24" w:rsidP="00242900">
            <w:pPr>
              <w:tabs>
                <w:tab w:val="num" w:pos="1260"/>
              </w:tabs>
              <w:jc w:val="center"/>
            </w:pPr>
            <w:r w:rsidRPr="005C325E">
              <w:t>0,</w:t>
            </w:r>
            <w:r w:rsidR="00ED56F7" w:rsidRPr="005C325E">
              <w:t>07</w:t>
            </w:r>
            <w:r w:rsidRPr="005C325E">
              <w:t>% от оборота за день</w:t>
            </w:r>
          </w:p>
        </w:tc>
      </w:tr>
      <w:tr w:rsidR="00AA2C20" w:rsidRPr="005C325E" w14:paraId="3F155D80" w14:textId="77777777" w:rsidTr="00913F24">
        <w:trPr>
          <w:cantSplit/>
          <w:trHeight w:val="433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4B86FF61" w14:textId="77777777" w:rsidR="00AA2C20" w:rsidRPr="005C325E" w:rsidRDefault="00AA2C20" w:rsidP="00AA2C20">
            <w:pPr>
              <w:jc w:val="center"/>
            </w:pPr>
            <w:r w:rsidRPr="005C325E">
              <w:t>Минимальное вознаграждение за сделку составляет 5 рублей.</w:t>
            </w:r>
          </w:p>
          <w:p w14:paraId="1500143E" w14:textId="77777777" w:rsidR="00AA2C20" w:rsidRPr="005C325E" w:rsidRDefault="00AA2C20" w:rsidP="00242900">
            <w:pPr>
              <w:tabs>
                <w:tab w:val="num" w:pos="1260"/>
              </w:tabs>
              <w:jc w:val="center"/>
            </w:pPr>
          </w:p>
        </w:tc>
      </w:tr>
    </w:tbl>
    <w:p w14:paraId="31B0BC36" w14:textId="77777777" w:rsidR="0088730D" w:rsidRPr="005C325E" w:rsidRDefault="0088730D" w:rsidP="0088730D">
      <w:pPr>
        <w:pStyle w:val="6"/>
        <w:spacing w:after="120"/>
        <w:jc w:val="both"/>
        <w:rPr>
          <w:b w:val="0"/>
          <w:iCs/>
        </w:rPr>
      </w:pPr>
    </w:p>
    <w:p w14:paraId="64312CBF" w14:textId="77777777" w:rsidR="000405D6" w:rsidRPr="005C325E" w:rsidRDefault="000405D6" w:rsidP="000405D6">
      <w:pPr>
        <w:pStyle w:val="6"/>
        <w:spacing w:after="120"/>
        <w:jc w:val="both"/>
        <w:rPr>
          <w:b w:val="0"/>
          <w:iCs/>
        </w:rPr>
      </w:pPr>
      <w:r w:rsidRPr="005C325E">
        <w:rPr>
          <w:b w:val="0"/>
          <w:iCs/>
        </w:rPr>
        <w:t xml:space="preserve">РЫНОК ДРАГОЦЕННЫХ МЕТАЛЛОВ </w:t>
      </w:r>
      <w:r w:rsidRPr="005C325E">
        <w:rPr>
          <w:b w:val="0"/>
        </w:rPr>
        <w:t>ПАО МОСКОВСКАЯ БИРЖА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6ED1F11E" w14:textId="77777777" w:rsidTr="00D2107B">
        <w:trPr>
          <w:cantSplit/>
          <w:trHeight w:val="499"/>
        </w:trPr>
        <w:tc>
          <w:tcPr>
            <w:tcW w:w="10456" w:type="dxa"/>
            <w:shd w:val="clear" w:color="auto" w:fill="E0E0E0"/>
            <w:vAlign w:val="center"/>
          </w:tcPr>
          <w:p w14:paraId="4D8E8004" w14:textId="77777777" w:rsidR="000405D6" w:rsidRPr="005C325E" w:rsidRDefault="000405D6" w:rsidP="00D2107B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 xml:space="preserve">Заключение сделок купли-продажи на рынке драгоценных металлов </w:t>
            </w:r>
          </w:p>
        </w:tc>
      </w:tr>
      <w:tr w:rsidR="000405D6" w:rsidRPr="005C325E" w14:paraId="5745F301" w14:textId="77777777" w:rsidTr="00D2107B">
        <w:trPr>
          <w:trHeight w:val="421"/>
        </w:trPr>
        <w:tc>
          <w:tcPr>
            <w:tcW w:w="10456" w:type="dxa"/>
            <w:vAlign w:val="center"/>
          </w:tcPr>
          <w:p w14:paraId="071BF9AC" w14:textId="77777777" w:rsidR="000405D6" w:rsidRPr="005C325E" w:rsidRDefault="000405D6" w:rsidP="000129E9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t>0,</w:t>
            </w:r>
            <w:r w:rsidR="000129E9" w:rsidRPr="005C325E">
              <w:t>1</w:t>
            </w:r>
            <w:r w:rsidRPr="005C325E">
              <w:t>% от о</w:t>
            </w:r>
            <w:r w:rsidRPr="005C325E">
              <w:rPr>
                <w:iCs/>
              </w:rPr>
              <w:t>боро</w:t>
            </w:r>
            <w:r w:rsidR="000129E9" w:rsidRPr="005C325E">
              <w:rPr>
                <w:iCs/>
              </w:rPr>
              <w:t>та за день (руб.), но не менее 1</w:t>
            </w:r>
            <w:r w:rsidRPr="005C325E">
              <w:rPr>
                <w:iCs/>
              </w:rPr>
              <w:t xml:space="preserve">0 рублей </w:t>
            </w:r>
            <w:r w:rsidR="000129E9" w:rsidRPr="005C325E">
              <w:rPr>
                <w:iCs/>
              </w:rPr>
              <w:t>за сделку</w:t>
            </w:r>
          </w:p>
        </w:tc>
      </w:tr>
    </w:tbl>
    <w:p w14:paraId="31885E0E" w14:textId="77777777" w:rsidR="00F2583B" w:rsidRPr="005C325E" w:rsidRDefault="00F2583B">
      <w:pPr>
        <w:rPr>
          <w:bCs/>
          <w:iCs/>
        </w:rPr>
      </w:pPr>
    </w:p>
    <w:p w14:paraId="578D201E" w14:textId="77777777" w:rsidR="00AB4E19" w:rsidRPr="005C325E" w:rsidRDefault="00F2583B" w:rsidP="00F2583B">
      <w:pPr>
        <w:pStyle w:val="6"/>
        <w:spacing w:after="120"/>
        <w:jc w:val="both"/>
        <w:rPr>
          <w:b w:val="0"/>
          <w:iCs/>
        </w:rPr>
      </w:pPr>
      <w:r w:rsidRPr="005C325E">
        <w:rPr>
          <w:b w:val="0"/>
          <w:iCs/>
        </w:rPr>
        <w:lastRenderedPageBreak/>
        <w:t>ВНЕБИРЖЕВОЙ ВАЛЮТНЫЙ РЫНОК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200"/>
      </w:tblGrid>
      <w:tr w:rsidR="005C325E" w:rsidRPr="005C325E" w14:paraId="533ECD75" w14:textId="77777777" w:rsidTr="003923F5">
        <w:trPr>
          <w:cantSplit/>
          <w:trHeight w:val="491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5C16015A" w14:textId="77777777" w:rsidR="003923F5" w:rsidRPr="005C325E" w:rsidRDefault="003923F5" w:rsidP="003923F5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>Заключение сделок купли-продажи иностранной валюты на внебиржевом рынке</w:t>
            </w:r>
          </w:p>
        </w:tc>
      </w:tr>
      <w:tr w:rsidR="005C325E" w:rsidRPr="005C325E" w14:paraId="4DB92B6F" w14:textId="77777777" w:rsidTr="000405D6">
        <w:trPr>
          <w:trHeight w:val="413"/>
        </w:trPr>
        <w:tc>
          <w:tcPr>
            <w:tcW w:w="5240" w:type="dxa"/>
            <w:vAlign w:val="center"/>
          </w:tcPr>
          <w:p w14:paraId="2B5CF3B2" w14:textId="77777777" w:rsidR="003923F5" w:rsidRPr="005C325E" w:rsidRDefault="003923F5" w:rsidP="003923F5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200" w:type="dxa"/>
            <w:vAlign w:val="center"/>
          </w:tcPr>
          <w:p w14:paraId="27FDC69D" w14:textId="77777777" w:rsidR="003923F5" w:rsidRPr="005C325E" w:rsidRDefault="003923F5" w:rsidP="003923F5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0B0A9612" w14:textId="77777777" w:rsidTr="000405D6">
        <w:trPr>
          <w:cantSplit/>
        </w:trPr>
        <w:tc>
          <w:tcPr>
            <w:tcW w:w="5240" w:type="dxa"/>
            <w:tcBorders>
              <w:bottom w:val="single" w:sz="4" w:space="0" w:color="auto"/>
            </w:tcBorders>
          </w:tcPr>
          <w:p w14:paraId="53C41638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до 15 000 000</w:t>
            </w:r>
            <w:r w:rsidR="008C6912" w:rsidRPr="005C325E">
              <w:t xml:space="preserve"> 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24953478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0,1</w:t>
            </w:r>
            <w:r w:rsidRPr="005C325E">
              <w:rPr>
                <w:iCs/>
              </w:rPr>
              <w:t>%</w:t>
            </w:r>
            <w:r w:rsidRPr="005C325E">
              <w:t>, но не менее 50 руб. за каждую сделку</w:t>
            </w:r>
          </w:p>
        </w:tc>
      </w:tr>
      <w:tr w:rsidR="005C325E" w:rsidRPr="005C325E" w14:paraId="640AB30F" w14:textId="77777777" w:rsidTr="000405D6">
        <w:trPr>
          <w:cantSplit/>
        </w:trPr>
        <w:tc>
          <w:tcPr>
            <w:tcW w:w="5240" w:type="dxa"/>
            <w:tcBorders>
              <w:bottom w:val="single" w:sz="4" w:space="0" w:color="auto"/>
            </w:tcBorders>
          </w:tcPr>
          <w:p w14:paraId="302BE60A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от 15 000 000,01 до 30 000 000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14:paraId="1F24DBA3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0,08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52F20B2E" w14:textId="77777777" w:rsidTr="000405D6">
        <w:trPr>
          <w:cantSplit/>
        </w:trPr>
        <w:tc>
          <w:tcPr>
            <w:tcW w:w="5240" w:type="dxa"/>
          </w:tcPr>
          <w:p w14:paraId="09844528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от 30 000 000,01 до 60 000 000</w:t>
            </w:r>
          </w:p>
        </w:tc>
        <w:tc>
          <w:tcPr>
            <w:tcW w:w="5200" w:type="dxa"/>
          </w:tcPr>
          <w:p w14:paraId="325DC8ED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0,055</w:t>
            </w:r>
            <w:r w:rsidRPr="005C325E">
              <w:rPr>
                <w:iCs/>
              </w:rPr>
              <w:t>%</w:t>
            </w:r>
          </w:p>
        </w:tc>
      </w:tr>
      <w:tr w:rsidR="003923F5" w:rsidRPr="005C325E" w14:paraId="1538C77C" w14:textId="77777777" w:rsidTr="000405D6">
        <w:trPr>
          <w:cantSplit/>
        </w:trPr>
        <w:tc>
          <w:tcPr>
            <w:tcW w:w="5240" w:type="dxa"/>
          </w:tcPr>
          <w:p w14:paraId="2AA3D0CF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свыше 60 000 000,01</w:t>
            </w:r>
          </w:p>
        </w:tc>
        <w:tc>
          <w:tcPr>
            <w:tcW w:w="5200" w:type="dxa"/>
          </w:tcPr>
          <w:p w14:paraId="698E5AA8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t>0,</w:t>
            </w:r>
            <w:r w:rsidR="00E82A92" w:rsidRPr="005C325E">
              <w:t>0</w:t>
            </w:r>
            <w:r w:rsidRPr="005C325E">
              <w:t>25%</w:t>
            </w:r>
          </w:p>
        </w:tc>
      </w:tr>
    </w:tbl>
    <w:p w14:paraId="3E499B77" w14:textId="77777777" w:rsidR="0088730D" w:rsidRPr="005C325E" w:rsidRDefault="0088730D" w:rsidP="003923F5">
      <w:pPr>
        <w:spacing w:before="120" w:after="120"/>
        <w:rPr>
          <w:bCs/>
        </w:rPr>
      </w:pPr>
    </w:p>
    <w:p w14:paraId="28DDFFA5" w14:textId="77777777" w:rsidR="003923F5" w:rsidRPr="005C325E" w:rsidRDefault="003923F5" w:rsidP="003923F5">
      <w:pPr>
        <w:spacing w:before="120" w:after="120"/>
        <w:rPr>
          <w:bCs/>
        </w:rPr>
      </w:pPr>
      <w:r w:rsidRPr="005C325E">
        <w:rPr>
          <w:bCs/>
        </w:rPr>
        <w:t>ЗАКЛЮЧЕНИЕ СДЕЛОК РЕПО И СДЕЛОК ПЕРЕНОСА НЕОБЕСПЕЧЕННОЙ ПОЗИЦИИ</w:t>
      </w: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6"/>
        <w:gridCol w:w="5237"/>
      </w:tblGrid>
      <w:tr w:rsidR="005C325E" w:rsidRPr="005C325E" w14:paraId="45E902B6" w14:textId="77777777" w:rsidTr="00375021">
        <w:trPr>
          <w:cantSplit/>
          <w:trHeight w:val="247"/>
        </w:trPr>
        <w:tc>
          <w:tcPr>
            <w:tcW w:w="1047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A5277E" w14:textId="2439E6D9" w:rsidR="003923F5" w:rsidRPr="005C325E" w:rsidRDefault="003923F5" w:rsidP="00E0264A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биржевых сделок РЕПО</w:t>
            </w:r>
            <w:r w:rsidR="00E0264A" w:rsidRPr="005C325E">
              <w:t xml:space="preserve"> в режимах РЕПО с Центральным контрагентом</w:t>
            </w:r>
            <w:r w:rsidR="00F123EF" w:rsidRPr="005C325E">
              <w:t>*</w:t>
            </w:r>
          </w:p>
        </w:tc>
      </w:tr>
      <w:tr w:rsidR="005C325E" w:rsidRPr="005C325E" w14:paraId="6C14E0B4" w14:textId="77777777" w:rsidTr="00375021">
        <w:trPr>
          <w:trHeight w:val="393"/>
        </w:trPr>
        <w:tc>
          <w:tcPr>
            <w:tcW w:w="5236" w:type="dxa"/>
            <w:vAlign w:val="center"/>
          </w:tcPr>
          <w:p w14:paraId="1719D636" w14:textId="1370B2AB" w:rsidR="003923F5" w:rsidRPr="005C325E" w:rsidRDefault="00E0264A" w:rsidP="003923F5">
            <w:pPr>
              <w:pStyle w:val="a4"/>
              <w:spacing w:line="240" w:lineRule="auto"/>
              <w:jc w:val="center"/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237" w:type="dxa"/>
            <w:vAlign w:val="center"/>
          </w:tcPr>
          <w:p w14:paraId="553BA424" w14:textId="6582FA00" w:rsidR="003923F5" w:rsidRPr="005C325E" w:rsidRDefault="008C6912" w:rsidP="008C6912">
            <w:pPr>
              <w:pStyle w:val="a4"/>
              <w:spacing w:line="240" w:lineRule="auto"/>
              <w:jc w:val="center"/>
              <w:rPr>
                <w:bCs/>
                <w:iCs/>
              </w:rPr>
            </w:pPr>
            <w:r w:rsidRPr="005C325E">
              <w:t>Вознаграждение в процентах</w:t>
            </w:r>
            <w:r w:rsidR="003923F5" w:rsidRPr="005C325E">
              <w:t xml:space="preserve"> годовых от суммы первой части на срок РЕПО, включая накопленный купонный доход</w:t>
            </w:r>
          </w:p>
        </w:tc>
      </w:tr>
      <w:tr w:rsidR="005C325E" w:rsidRPr="005C325E" w14:paraId="71ED5750" w14:textId="77777777" w:rsidTr="00375021">
        <w:trPr>
          <w:trHeight w:val="393"/>
        </w:trPr>
        <w:tc>
          <w:tcPr>
            <w:tcW w:w="5236" w:type="dxa"/>
            <w:shd w:val="clear" w:color="auto" w:fill="FFFFFF" w:themeFill="background1"/>
            <w:vAlign w:val="center"/>
          </w:tcPr>
          <w:p w14:paraId="77FD3B3E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до 25 000 000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48D6C26B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1,50%</w:t>
            </w:r>
          </w:p>
        </w:tc>
      </w:tr>
      <w:tr w:rsidR="005C325E" w:rsidRPr="005C325E" w14:paraId="04CF6C4D" w14:textId="77777777" w:rsidTr="00375021">
        <w:trPr>
          <w:trHeight w:val="393"/>
        </w:trPr>
        <w:tc>
          <w:tcPr>
            <w:tcW w:w="5236" w:type="dxa"/>
            <w:shd w:val="clear" w:color="auto" w:fill="FFFFFF" w:themeFill="background1"/>
            <w:vAlign w:val="center"/>
          </w:tcPr>
          <w:p w14:paraId="393B8D1A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от 25 000 000,01 до 50 000 000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3CA0EDCB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1,25%</w:t>
            </w:r>
          </w:p>
        </w:tc>
      </w:tr>
      <w:tr w:rsidR="005C325E" w:rsidRPr="005C325E" w14:paraId="494E99A3" w14:textId="77777777" w:rsidTr="00375021">
        <w:trPr>
          <w:trHeight w:val="393"/>
        </w:trPr>
        <w:tc>
          <w:tcPr>
            <w:tcW w:w="5236" w:type="dxa"/>
            <w:shd w:val="clear" w:color="auto" w:fill="FFFFFF" w:themeFill="background1"/>
            <w:vAlign w:val="center"/>
          </w:tcPr>
          <w:p w14:paraId="247A7A80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от 50 000 000,01 до 100 000 000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09BA40A4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1,00%</w:t>
            </w:r>
          </w:p>
        </w:tc>
      </w:tr>
      <w:tr w:rsidR="005C325E" w:rsidRPr="005C325E" w14:paraId="48B08129" w14:textId="77777777" w:rsidTr="00375021">
        <w:trPr>
          <w:trHeight w:val="393"/>
        </w:trPr>
        <w:tc>
          <w:tcPr>
            <w:tcW w:w="5236" w:type="dxa"/>
            <w:shd w:val="clear" w:color="auto" w:fill="FFFFFF" w:themeFill="background1"/>
            <w:vAlign w:val="center"/>
          </w:tcPr>
          <w:p w14:paraId="6768D5AF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от 100 000 000,01 до 500 000 000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3BDA81C0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0,75%</w:t>
            </w:r>
          </w:p>
        </w:tc>
      </w:tr>
      <w:tr w:rsidR="005C325E" w:rsidRPr="005C325E" w14:paraId="3099BEEB" w14:textId="77777777" w:rsidTr="00375021">
        <w:trPr>
          <w:trHeight w:val="393"/>
        </w:trPr>
        <w:tc>
          <w:tcPr>
            <w:tcW w:w="5236" w:type="dxa"/>
            <w:shd w:val="clear" w:color="auto" w:fill="FFFFFF" w:themeFill="background1"/>
            <w:vAlign w:val="center"/>
          </w:tcPr>
          <w:p w14:paraId="3657D6A4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 xml:space="preserve">свыше 500 000 000,01 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62D215C3" w14:textId="77777777" w:rsidR="008C6912" w:rsidRPr="005C325E" w:rsidRDefault="008C6912" w:rsidP="003923F5">
            <w:pPr>
              <w:pStyle w:val="a4"/>
              <w:spacing w:line="240" w:lineRule="auto"/>
              <w:jc w:val="center"/>
            </w:pPr>
            <w:r w:rsidRPr="005C325E">
              <w:t>0,50%</w:t>
            </w:r>
          </w:p>
        </w:tc>
      </w:tr>
    </w:tbl>
    <w:p w14:paraId="0A3E2218" w14:textId="77777777" w:rsidR="008C6912" w:rsidRPr="005C325E" w:rsidRDefault="008C6912" w:rsidP="003923F5">
      <w:pPr>
        <w:tabs>
          <w:tab w:val="num" w:pos="1260"/>
        </w:tabs>
        <w:jc w:val="both"/>
        <w:rPr>
          <w:bCs/>
          <w:iCs/>
        </w:rPr>
      </w:pPr>
    </w:p>
    <w:p w14:paraId="1828C8FE" w14:textId="7C7CEC7A" w:rsidR="004C5EFD" w:rsidRPr="005C325E" w:rsidRDefault="00BA486C" w:rsidP="003923F5">
      <w:pPr>
        <w:tabs>
          <w:tab w:val="num" w:pos="1260"/>
        </w:tabs>
        <w:jc w:val="both"/>
        <w:rPr>
          <w:bCs/>
          <w:iCs/>
        </w:rPr>
      </w:pPr>
      <w:r w:rsidRPr="005C325E">
        <w:rPr>
          <w:bCs/>
          <w:iCs/>
        </w:rPr>
        <w:t xml:space="preserve">* </w:t>
      </w:r>
      <w:r w:rsidR="004C5EFD" w:rsidRPr="005C325E">
        <w:rPr>
          <w:bCs/>
          <w:iCs/>
        </w:rPr>
        <w:t xml:space="preserve">РЕГИОН вправе без объяснения причин отказать в предоставлении </w:t>
      </w:r>
      <w:r w:rsidRPr="005C325E">
        <w:rPr>
          <w:bCs/>
          <w:iCs/>
        </w:rPr>
        <w:t>данной</w:t>
      </w:r>
      <w:r w:rsidR="004C5EFD" w:rsidRPr="005C325E">
        <w:rPr>
          <w:bCs/>
          <w:iCs/>
        </w:rPr>
        <w:t xml:space="preserve"> услуг</w:t>
      </w:r>
      <w:r w:rsidRPr="005C325E">
        <w:rPr>
          <w:bCs/>
          <w:iCs/>
        </w:rPr>
        <w:t>и.</w:t>
      </w:r>
    </w:p>
    <w:p w14:paraId="369F8F7F" w14:textId="77777777" w:rsidR="004C5EFD" w:rsidRPr="005C325E" w:rsidRDefault="004C5EFD" w:rsidP="003923F5">
      <w:pPr>
        <w:tabs>
          <w:tab w:val="num" w:pos="1260"/>
        </w:tabs>
        <w:jc w:val="both"/>
        <w:rPr>
          <w:bCs/>
          <w:i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5C325E" w:rsidRPr="005C325E" w14:paraId="2419331B" w14:textId="77777777" w:rsidTr="003923F5">
        <w:trPr>
          <w:cantSplit/>
          <w:trHeight w:val="539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AEAC6B" w14:textId="77777777" w:rsidR="003923F5" w:rsidRPr="005C325E" w:rsidRDefault="003923F5" w:rsidP="003923F5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биржевых сделок переноса необеспеченной позиции</w:t>
            </w:r>
          </w:p>
        </w:tc>
      </w:tr>
      <w:tr w:rsidR="005C325E" w:rsidRPr="005C325E" w14:paraId="752DEF37" w14:textId="77777777" w:rsidTr="003923F5">
        <w:trPr>
          <w:trHeight w:val="689"/>
        </w:trPr>
        <w:tc>
          <w:tcPr>
            <w:tcW w:w="5245" w:type="dxa"/>
            <w:vAlign w:val="center"/>
          </w:tcPr>
          <w:p w14:paraId="75CA490E" w14:textId="77777777" w:rsidR="003923F5" w:rsidRPr="005C325E" w:rsidRDefault="003923F5" w:rsidP="003923F5">
            <w:pPr>
              <w:pStyle w:val="a4"/>
              <w:spacing w:line="240" w:lineRule="auto"/>
              <w:jc w:val="center"/>
            </w:pPr>
            <w:r w:rsidRPr="005C325E">
              <w:t>Заключение сделок РЕПО для переноса необеспеченной позиции (режим РЕПО с ЦК)</w:t>
            </w:r>
          </w:p>
        </w:tc>
        <w:tc>
          <w:tcPr>
            <w:tcW w:w="5245" w:type="dxa"/>
            <w:vAlign w:val="center"/>
          </w:tcPr>
          <w:p w14:paraId="6C618B67" w14:textId="77777777" w:rsidR="003923F5" w:rsidRPr="005C325E" w:rsidRDefault="003923F5" w:rsidP="003923F5">
            <w:pPr>
              <w:pStyle w:val="a4"/>
              <w:spacing w:line="240" w:lineRule="auto"/>
              <w:jc w:val="center"/>
              <w:rPr>
                <w:bCs/>
                <w:iCs/>
              </w:rPr>
            </w:pPr>
            <w:r w:rsidRPr="005C325E">
              <w:t xml:space="preserve">2% годовых от суммы первой части на срок РЕПО, включая </w:t>
            </w:r>
            <w:r w:rsidRPr="005C325E">
              <w:rPr>
                <w:iCs/>
              </w:rPr>
              <w:t>накопленный купонный доход</w:t>
            </w:r>
          </w:p>
        </w:tc>
      </w:tr>
      <w:tr w:rsidR="005C325E" w:rsidRPr="005C325E" w14:paraId="2C37E82A" w14:textId="77777777" w:rsidTr="003923F5">
        <w:trPr>
          <w:trHeight w:val="699"/>
        </w:trPr>
        <w:tc>
          <w:tcPr>
            <w:tcW w:w="5245" w:type="dxa"/>
            <w:vAlign w:val="center"/>
          </w:tcPr>
          <w:p w14:paraId="7E3F1A78" w14:textId="77777777" w:rsidR="003923F5" w:rsidRPr="005C325E" w:rsidRDefault="003923F5" w:rsidP="003923F5">
            <w:pPr>
              <w:tabs>
                <w:tab w:val="num" w:pos="1260"/>
              </w:tabs>
              <w:jc w:val="center"/>
            </w:pPr>
            <w:r w:rsidRPr="005C325E">
              <w:rPr>
                <w:iCs/>
              </w:rPr>
              <w:t>Заключение сделок своп</w:t>
            </w:r>
            <w:r w:rsidRPr="005C325E">
              <w:t xml:space="preserve"> с валютой для переноса необеспеченной позиции</w:t>
            </w:r>
          </w:p>
        </w:tc>
        <w:tc>
          <w:tcPr>
            <w:tcW w:w="5245" w:type="dxa"/>
            <w:vAlign w:val="center"/>
          </w:tcPr>
          <w:p w14:paraId="55E779C9" w14:textId="77777777" w:rsidR="003923F5" w:rsidRPr="005C325E" w:rsidRDefault="003923F5" w:rsidP="003923F5">
            <w:pPr>
              <w:pStyle w:val="a4"/>
              <w:spacing w:line="240" w:lineRule="auto"/>
              <w:jc w:val="center"/>
            </w:pPr>
            <w:r w:rsidRPr="005C325E">
              <w:t>0,0015% от суммы сделки, но не менее 100 руб. за каждую сделку</w:t>
            </w:r>
          </w:p>
        </w:tc>
      </w:tr>
    </w:tbl>
    <w:p w14:paraId="77D26C6B" w14:textId="77777777" w:rsidR="003923F5" w:rsidRPr="005C325E" w:rsidRDefault="003923F5" w:rsidP="003923F5">
      <w:pPr>
        <w:tabs>
          <w:tab w:val="num" w:pos="1260"/>
        </w:tabs>
        <w:jc w:val="both"/>
        <w:rPr>
          <w:bCs/>
          <w:iCs/>
        </w:rPr>
      </w:pPr>
    </w:p>
    <w:p w14:paraId="5E964AEB" w14:textId="77777777" w:rsidR="009110D9" w:rsidRPr="005C325E" w:rsidRDefault="003923F5" w:rsidP="009110D9">
      <w:pPr>
        <w:spacing w:before="120" w:after="120"/>
        <w:rPr>
          <w:bCs/>
          <w:caps/>
        </w:rPr>
      </w:pPr>
      <w:r w:rsidRPr="005C325E">
        <w:rPr>
          <w:bCs/>
          <w:caps/>
        </w:rPr>
        <w:t>пао спб биржа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5342"/>
      </w:tblGrid>
      <w:tr w:rsidR="005C325E" w:rsidRPr="005C325E" w14:paraId="574346AD" w14:textId="77777777" w:rsidTr="00E82A92">
        <w:trPr>
          <w:cantSplit/>
          <w:trHeight w:val="491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6C4F190" w14:textId="77777777" w:rsidR="003923F5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купли-продажи с иностранными ценными бумагами на ПАО СПБ БИРЖА</w:t>
            </w:r>
          </w:p>
          <w:p w14:paraId="0C73F323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Подача Поручений с использованием Системы интернет-трейдинга</w:t>
            </w:r>
          </w:p>
        </w:tc>
      </w:tr>
      <w:tr w:rsidR="005C325E" w:rsidRPr="005C325E" w14:paraId="5037060E" w14:textId="77777777" w:rsidTr="000405D6">
        <w:trPr>
          <w:trHeight w:val="413"/>
        </w:trPr>
        <w:tc>
          <w:tcPr>
            <w:tcW w:w="5098" w:type="dxa"/>
            <w:vAlign w:val="center"/>
          </w:tcPr>
          <w:p w14:paraId="4AFB4732" w14:textId="77777777" w:rsidR="003923F5" w:rsidRPr="005C325E" w:rsidRDefault="003923F5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342" w:type="dxa"/>
            <w:vAlign w:val="center"/>
          </w:tcPr>
          <w:p w14:paraId="24E715AB" w14:textId="77777777" w:rsidR="003923F5" w:rsidRPr="005C325E" w:rsidRDefault="003923F5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1CE789D6" w14:textId="77777777" w:rsidTr="000405D6">
        <w:trPr>
          <w:cantSplit/>
        </w:trPr>
        <w:tc>
          <w:tcPr>
            <w:tcW w:w="5098" w:type="dxa"/>
            <w:tcBorders>
              <w:bottom w:val="single" w:sz="4" w:space="0" w:color="auto"/>
            </w:tcBorders>
          </w:tcPr>
          <w:p w14:paraId="69F0251E" w14:textId="77777777" w:rsidR="003923F5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до 1 000 000 включительно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14:paraId="3CCCEE87" w14:textId="77777777" w:rsidR="003923F5" w:rsidRPr="005C325E" w:rsidRDefault="00D57358" w:rsidP="00D57358">
            <w:pPr>
              <w:tabs>
                <w:tab w:val="num" w:pos="1260"/>
              </w:tabs>
              <w:jc w:val="center"/>
            </w:pPr>
            <w:r w:rsidRPr="005C325E">
              <w:t>0,055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2D4D1F40" w14:textId="77777777" w:rsidTr="000405D6">
        <w:trPr>
          <w:cantSplit/>
        </w:trPr>
        <w:tc>
          <w:tcPr>
            <w:tcW w:w="5098" w:type="dxa"/>
            <w:tcBorders>
              <w:bottom w:val="single" w:sz="4" w:space="0" w:color="auto"/>
            </w:tcBorders>
          </w:tcPr>
          <w:p w14:paraId="799F9395" w14:textId="77777777" w:rsidR="003923F5" w:rsidRPr="005C325E" w:rsidRDefault="00D57358" w:rsidP="00D57358">
            <w:pPr>
              <w:tabs>
                <w:tab w:val="num" w:pos="1260"/>
              </w:tabs>
              <w:jc w:val="center"/>
            </w:pPr>
            <w:r w:rsidRPr="005C325E">
              <w:t>свыше 1 000 000 до 10 000 000 включительно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14:paraId="79EDA7D9" w14:textId="77777777" w:rsidR="003923F5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0,034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15217041" w14:textId="77777777" w:rsidTr="000405D6">
        <w:trPr>
          <w:cantSplit/>
        </w:trPr>
        <w:tc>
          <w:tcPr>
            <w:tcW w:w="5098" w:type="dxa"/>
          </w:tcPr>
          <w:p w14:paraId="02B4B7FD" w14:textId="77777777" w:rsidR="003923F5" w:rsidRPr="005C325E" w:rsidRDefault="00D57358" w:rsidP="00D57358">
            <w:pPr>
              <w:tabs>
                <w:tab w:val="num" w:pos="1260"/>
              </w:tabs>
            </w:pPr>
            <w:r w:rsidRPr="005C325E">
              <w:t>свыше 10 000 000 до 50 000 000 включительно</w:t>
            </w:r>
          </w:p>
        </w:tc>
        <w:tc>
          <w:tcPr>
            <w:tcW w:w="5342" w:type="dxa"/>
          </w:tcPr>
          <w:p w14:paraId="6A03214D" w14:textId="77777777" w:rsidR="003923F5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0,025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44C025DE" w14:textId="77777777" w:rsidTr="000405D6">
        <w:trPr>
          <w:cantSplit/>
        </w:trPr>
        <w:tc>
          <w:tcPr>
            <w:tcW w:w="5098" w:type="dxa"/>
          </w:tcPr>
          <w:p w14:paraId="3EDC1999" w14:textId="77777777" w:rsidR="003923F5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свыше 50 000 000</w:t>
            </w:r>
          </w:p>
        </w:tc>
        <w:tc>
          <w:tcPr>
            <w:tcW w:w="5342" w:type="dxa"/>
          </w:tcPr>
          <w:p w14:paraId="1CCECDF6" w14:textId="77777777" w:rsidR="003923F5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0,014</w:t>
            </w:r>
            <w:r w:rsidRPr="005C325E">
              <w:rPr>
                <w:iCs/>
              </w:rPr>
              <w:t>%</w:t>
            </w:r>
          </w:p>
        </w:tc>
      </w:tr>
      <w:tr w:rsidR="005C325E" w:rsidRPr="005C325E" w14:paraId="42E77293" w14:textId="77777777" w:rsidTr="00370A7A">
        <w:trPr>
          <w:cantSplit/>
        </w:trPr>
        <w:tc>
          <w:tcPr>
            <w:tcW w:w="10440" w:type="dxa"/>
            <w:gridSpan w:val="2"/>
          </w:tcPr>
          <w:p w14:paraId="1A7984C6" w14:textId="77777777" w:rsidR="00AA2C20" w:rsidRPr="005C325E" w:rsidRDefault="00AA2C20" w:rsidP="00180FB2">
            <w:pPr>
              <w:tabs>
                <w:tab w:val="num" w:pos="1260"/>
              </w:tabs>
              <w:jc w:val="center"/>
            </w:pPr>
            <w:r w:rsidRPr="005C325E">
              <w:t>Минимальное вознаграждение за частично или полностью исполненное поручение 1,5 руб.</w:t>
            </w:r>
          </w:p>
        </w:tc>
      </w:tr>
    </w:tbl>
    <w:p w14:paraId="442358A7" w14:textId="77777777" w:rsidR="00D57358" w:rsidRPr="005C325E" w:rsidRDefault="00D57358" w:rsidP="00D57358">
      <w:pPr>
        <w:spacing w:before="120" w:after="120"/>
        <w:rPr>
          <w:bCs/>
          <w:caps/>
        </w:rPr>
      </w:pPr>
      <w:r w:rsidRPr="005C325E">
        <w:t>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5C325E" w:rsidRPr="005C325E" w14:paraId="781C381A" w14:textId="77777777" w:rsidTr="00180FB2">
        <w:trPr>
          <w:cantSplit/>
          <w:trHeight w:val="75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0CE40C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lastRenderedPageBreak/>
              <w:t>Заключение сделок купли-продажи с иностранными ценными бумагами на ПАО СПБ БИРЖА</w:t>
            </w:r>
          </w:p>
          <w:p w14:paraId="589570FB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Подача Поручений без использования Системы интернет-трейдинга</w:t>
            </w:r>
          </w:p>
        </w:tc>
      </w:tr>
      <w:tr w:rsidR="005C325E" w:rsidRPr="005C325E" w14:paraId="0F25DCC5" w14:textId="77777777" w:rsidTr="00D57358">
        <w:trPr>
          <w:trHeight w:val="393"/>
        </w:trPr>
        <w:tc>
          <w:tcPr>
            <w:tcW w:w="5245" w:type="dxa"/>
            <w:vAlign w:val="center"/>
          </w:tcPr>
          <w:p w14:paraId="6DA1455D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245" w:type="dxa"/>
            <w:vAlign w:val="center"/>
          </w:tcPr>
          <w:p w14:paraId="5EEEEDCE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036ED9FE" w14:textId="77777777" w:rsidTr="00180FB2">
        <w:trPr>
          <w:trHeight w:val="710"/>
        </w:trPr>
        <w:tc>
          <w:tcPr>
            <w:tcW w:w="5245" w:type="dxa"/>
            <w:vAlign w:val="center"/>
          </w:tcPr>
          <w:p w14:paraId="3A931861" w14:textId="77777777" w:rsidR="00D57358" w:rsidRPr="005C325E" w:rsidRDefault="00D57358" w:rsidP="00180FB2">
            <w:pPr>
              <w:pStyle w:val="a4"/>
              <w:spacing w:line="240" w:lineRule="auto"/>
              <w:jc w:val="center"/>
            </w:pPr>
            <w:r w:rsidRPr="005C325E">
              <w:t>Вне зависимости от оборота</w:t>
            </w:r>
          </w:p>
        </w:tc>
        <w:tc>
          <w:tcPr>
            <w:tcW w:w="5245" w:type="dxa"/>
            <w:vAlign w:val="center"/>
          </w:tcPr>
          <w:p w14:paraId="381B1E86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t>0,1% от оборота за день</w:t>
            </w:r>
          </w:p>
        </w:tc>
      </w:tr>
      <w:tr w:rsidR="005C325E" w:rsidRPr="005C325E" w14:paraId="750ECC51" w14:textId="77777777" w:rsidTr="00375021">
        <w:trPr>
          <w:trHeight w:val="307"/>
        </w:trPr>
        <w:tc>
          <w:tcPr>
            <w:tcW w:w="10490" w:type="dxa"/>
            <w:gridSpan w:val="2"/>
            <w:vAlign w:val="center"/>
          </w:tcPr>
          <w:p w14:paraId="4EAD9A8C" w14:textId="77777777" w:rsidR="00AA2C20" w:rsidRPr="005C325E" w:rsidRDefault="00AA2C20" w:rsidP="00AA2C20">
            <w:pPr>
              <w:tabs>
                <w:tab w:val="num" w:pos="1260"/>
              </w:tabs>
              <w:jc w:val="center"/>
            </w:pPr>
            <w:r w:rsidRPr="005C325E">
              <w:t>Минимальное вознаграждение за частично или полностью исполненное поручение 1,5 руб.</w:t>
            </w:r>
          </w:p>
        </w:tc>
      </w:tr>
    </w:tbl>
    <w:p w14:paraId="53C12900" w14:textId="77777777" w:rsidR="00D57358" w:rsidRPr="005C325E" w:rsidRDefault="00D57358" w:rsidP="00621BCA">
      <w:pPr>
        <w:tabs>
          <w:tab w:val="num" w:pos="1260"/>
        </w:tabs>
        <w:spacing w:before="120"/>
        <w:jc w:val="both"/>
        <w:rPr>
          <w:bCs/>
          <w:iCs/>
        </w:rPr>
      </w:pPr>
    </w:p>
    <w:p w14:paraId="344EBC4B" w14:textId="77777777" w:rsidR="00FF2D97" w:rsidRPr="005C325E" w:rsidRDefault="003E0D69" w:rsidP="00621BCA">
      <w:pPr>
        <w:tabs>
          <w:tab w:val="num" w:pos="1260"/>
        </w:tabs>
        <w:spacing w:before="120"/>
        <w:jc w:val="both"/>
        <w:rPr>
          <w:bCs/>
          <w:iCs/>
        </w:rPr>
      </w:pPr>
      <w:r w:rsidRPr="005C325E">
        <w:rPr>
          <w:bCs/>
          <w:iCs/>
        </w:rPr>
        <w:t>УСЛОВИЯ РАСЧЁТА И УДЕРЖАНИЯ ВОЗНАГРАЖДЕНИЯ</w:t>
      </w:r>
      <w:r w:rsidR="00AB0049" w:rsidRPr="005C325E">
        <w:rPr>
          <w:bCs/>
          <w:iCs/>
        </w:rPr>
        <w:t xml:space="preserve"> </w:t>
      </w:r>
      <w:r w:rsidR="00860221" w:rsidRPr="005C325E">
        <w:rPr>
          <w:bCs/>
          <w:iCs/>
        </w:rPr>
        <w:t>(ТАРИФ БАЗОВЫЙ)</w:t>
      </w:r>
    </w:p>
    <w:p w14:paraId="4B9A542D" w14:textId="77777777" w:rsidR="00AB4E19" w:rsidRPr="005C325E" w:rsidRDefault="00AB4E19" w:rsidP="005F4366">
      <w:pPr>
        <w:spacing w:before="120" w:after="120"/>
        <w:jc w:val="both"/>
      </w:pPr>
      <w:r w:rsidRPr="005C325E">
        <w:t>Вознаграждение начисляется и списывается ежедневно или в иной разумный срок по усмотрению РЕГИОНА.</w:t>
      </w:r>
    </w:p>
    <w:p w14:paraId="7A9C0E66" w14:textId="77777777" w:rsidR="008E27C8" w:rsidRPr="005C325E" w:rsidRDefault="008E27C8" w:rsidP="005F4366">
      <w:pPr>
        <w:spacing w:before="120" w:after="120"/>
        <w:jc w:val="both"/>
      </w:pPr>
      <w:r w:rsidRPr="005C325E">
        <w:t>Вознаграждение рассчитывается в рублях РФ. При расчете размера вознаграждения по сделкам с ценным</w:t>
      </w:r>
      <w:r w:rsidR="00D57358" w:rsidRPr="005C325E">
        <w:t>и</w:t>
      </w:r>
      <w:r w:rsidRPr="005C325E">
        <w:t xml:space="preserve"> бумагами с расчетами в иностранной валюте применяется курс ЦБ РФ на дату сделки.</w:t>
      </w:r>
    </w:p>
    <w:p w14:paraId="4FE146E8" w14:textId="77777777" w:rsidR="00512AD6" w:rsidRPr="005C325E" w:rsidRDefault="00AB0049" w:rsidP="005F4366">
      <w:pPr>
        <w:spacing w:before="120" w:after="120"/>
        <w:jc w:val="both"/>
      </w:pPr>
      <w:r w:rsidRPr="005C325E">
        <w:t>Дополнительно к сумме вознаграждения с Клиента удерживаются расходы РЕГИОНА</w:t>
      </w:r>
      <w:r w:rsidR="00F404A4" w:rsidRPr="005C325E">
        <w:t xml:space="preserve">, </w:t>
      </w:r>
      <w:r w:rsidRPr="005C325E">
        <w:t>связанные с заключением и исполнением сделок, включающие в себя</w:t>
      </w:r>
      <w:r w:rsidR="00F404A4" w:rsidRPr="005C325E">
        <w:t xml:space="preserve"> сборы и комиссии, взимаемые третьими лицами в связи с исполнением сделок и иных операций, совершенных в интересах Клиента. Подробнее порядок расчета </w:t>
      </w:r>
      <w:r w:rsidR="002C1189" w:rsidRPr="005C325E">
        <w:t>в</w:t>
      </w:r>
      <w:r w:rsidR="00F404A4" w:rsidRPr="005C325E">
        <w:t>ознаграждения и возмещения расходов описан в разделе IV. Регламента «Оплата расходов и вознаграждения РЕГИОНА».</w:t>
      </w:r>
      <w:r w:rsidRPr="005C325E">
        <w:t xml:space="preserve"> </w:t>
      </w:r>
    </w:p>
    <w:p w14:paraId="106A02D5" w14:textId="43DAC440" w:rsidR="00B07DD6" w:rsidRPr="005C325E" w:rsidRDefault="00EF0FBB" w:rsidP="005F4366">
      <w:pPr>
        <w:spacing w:before="120" w:after="120"/>
        <w:jc w:val="both"/>
      </w:pPr>
      <w:r w:rsidRPr="005C325E">
        <w:t>С</w:t>
      </w:r>
      <w:r w:rsidRPr="005C325E">
        <w:rPr>
          <w:bCs/>
          <w:iCs/>
        </w:rPr>
        <w:t xml:space="preserve">тоимость всех Портфелей Клиента </w:t>
      </w:r>
      <w:r w:rsidRPr="005C325E">
        <w:t>для целей расчёта минимально</w:t>
      </w:r>
      <w:r w:rsidR="00325AC7" w:rsidRPr="005C325E">
        <w:t>го</w:t>
      </w:r>
      <w:r w:rsidRPr="005C325E">
        <w:t xml:space="preserve"> вознаграждени</w:t>
      </w:r>
      <w:r w:rsidR="00325AC7" w:rsidRPr="005C325E">
        <w:t>я</w:t>
      </w:r>
      <w:r w:rsidRPr="005C325E">
        <w:t xml:space="preserve"> определяется на предпоследний день соответствующего календарного месяца.</w:t>
      </w:r>
      <w:r w:rsidRPr="005C325E">
        <w:rPr>
          <w:bCs/>
          <w:iCs/>
        </w:rPr>
        <w:t xml:space="preserve"> </w:t>
      </w:r>
      <w:r w:rsidR="00B07DD6" w:rsidRPr="005C325E">
        <w:t>Если по состоянию на последний Рабочий день отчетного месяца сумма свободных денежных средств на счетах Клиента составляет менее минимального ежемесячного вознаграждения, минимальное вознаграждение взимается в размере остатка денежных средств.</w:t>
      </w:r>
    </w:p>
    <w:p w14:paraId="4DFB62F8" w14:textId="77777777" w:rsidR="00325AC7" w:rsidRPr="005C325E" w:rsidRDefault="00AD1B30" w:rsidP="00B07DD6">
      <w:pPr>
        <w:tabs>
          <w:tab w:val="num" w:pos="1260"/>
        </w:tabs>
        <w:spacing w:before="120"/>
        <w:jc w:val="both"/>
        <w:rPr>
          <w:bCs/>
          <w:iCs/>
        </w:rPr>
      </w:pPr>
      <w:r w:rsidRPr="005C325E">
        <w:rPr>
          <w:bCs/>
          <w:iCs/>
        </w:rPr>
        <w:t xml:space="preserve">Вознаграждение по </w:t>
      </w:r>
      <w:r w:rsidR="003E2435" w:rsidRPr="005C325E">
        <w:rPr>
          <w:iCs/>
        </w:rPr>
        <w:t xml:space="preserve">внебиржевым/биржевым </w:t>
      </w:r>
      <w:r w:rsidRPr="005C325E">
        <w:rPr>
          <w:bCs/>
          <w:iCs/>
        </w:rPr>
        <w:t xml:space="preserve">сделкам РЕПО начисляется за каждый день </w:t>
      </w:r>
      <w:r w:rsidR="002E07FF" w:rsidRPr="005C325E">
        <w:rPr>
          <w:bCs/>
          <w:iCs/>
        </w:rPr>
        <w:t>срока</w:t>
      </w:r>
      <w:r w:rsidRPr="005C325E">
        <w:rPr>
          <w:bCs/>
          <w:iCs/>
        </w:rPr>
        <w:t xml:space="preserve"> РЕПО. Для внутридневных сделок РЕПО срок РЕПО признается равным одному дню.</w:t>
      </w:r>
    </w:p>
    <w:p w14:paraId="5A4DD710" w14:textId="77777777" w:rsidR="0032240B" w:rsidRPr="005C325E" w:rsidRDefault="0032240B" w:rsidP="00621BCA">
      <w:pPr>
        <w:tabs>
          <w:tab w:val="num" w:pos="1260"/>
        </w:tabs>
        <w:spacing w:before="120"/>
        <w:jc w:val="both"/>
        <w:rPr>
          <w:bCs/>
          <w:iCs/>
        </w:rPr>
      </w:pPr>
      <w:r w:rsidRPr="005C325E">
        <w:rPr>
          <w:bCs/>
          <w:iCs/>
        </w:rPr>
        <w:t xml:space="preserve">Под краткосрочными облигациями </w:t>
      </w:r>
      <w:r w:rsidR="003E2435" w:rsidRPr="005C325E">
        <w:rPr>
          <w:bCs/>
          <w:iCs/>
        </w:rPr>
        <w:t xml:space="preserve">российских эмитентов </w:t>
      </w:r>
      <w:r w:rsidRPr="005C325E">
        <w:rPr>
          <w:bCs/>
          <w:iCs/>
        </w:rPr>
        <w:t xml:space="preserve">понимаются облигации сроком обращения от одного дня до девяноста дней. </w:t>
      </w:r>
      <w:r w:rsidR="0003100B" w:rsidRPr="005C325E">
        <w:rPr>
          <w:bCs/>
          <w:iCs/>
        </w:rPr>
        <w:t xml:space="preserve">В случае заключения </w:t>
      </w:r>
      <w:r w:rsidRPr="005C325E">
        <w:rPr>
          <w:bCs/>
          <w:iCs/>
        </w:rPr>
        <w:t>сдел</w:t>
      </w:r>
      <w:r w:rsidR="0003100B" w:rsidRPr="005C325E">
        <w:rPr>
          <w:bCs/>
          <w:iCs/>
        </w:rPr>
        <w:t>о</w:t>
      </w:r>
      <w:r w:rsidRPr="005C325E">
        <w:rPr>
          <w:bCs/>
          <w:iCs/>
        </w:rPr>
        <w:t>к, направленны</w:t>
      </w:r>
      <w:r w:rsidR="0003100B" w:rsidRPr="005C325E">
        <w:rPr>
          <w:bCs/>
          <w:iCs/>
        </w:rPr>
        <w:t>х</w:t>
      </w:r>
      <w:r w:rsidRPr="005C325E">
        <w:rPr>
          <w:bCs/>
          <w:iCs/>
        </w:rPr>
        <w:t xml:space="preserve"> на приобретение краткосрочных облигаций</w:t>
      </w:r>
      <w:r w:rsidR="003E2435" w:rsidRPr="005C325E">
        <w:rPr>
          <w:bCs/>
          <w:iCs/>
        </w:rPr>
        <w:t xml:space="preserve"> российских эмитентов</w:t>
      </w:r>
      <w:r w:rsidRPr="005C325E">
        <w:rPr>
          <w:bCs/>
          <w:iCs/>
        </w:rPr>
        <w:t>, заключаемы</w:t>
      </w:r>
      <w:r w:rsidR="0003100B" w:rsidRPr="005C325E">
        <w:rPr>
          <w:bCs/>
          <w:iCs/>
        </w:rPr>
        <w:t>х</w:t>
      </w:r>
      <w:r w:rsidRPr="005C325E">
        <w:rPr>
          <w:bCs/>
          <w:iCs/>
        </w:rPr>
        <w:t xml:space="preserve"> как в процессе размещения, так и в процессе обращения краткосрочных облигаций</w:t>
      </w:r>
      <w:r w:rsidR="0003100B" w:rsidRPr="005C325E">
        <w:rPr>
          <w:bCs/>
          <w:iCs/>
        </w:rPr>
        <w:t>, в</w:t>
      </w:r>
      <w:r w:rsidRPr="005C325E">
        <w:rPr>
          <w:bCs/>
          <w:iCs/>
        </w:rPr>
        <w:t xml:space="preserve">ознаграждение рассчитывается за срок с даты сделки до даты погашения краткосрочных облигаций. </w:t>
      </w:r>
    </w:p>
    <w:p w14:paraId="77405B3F" w14:textId="77777777" w:rsidR="00B43801" w:rsidRPr="005C325E" w:rsidRDefault="00C57706" w:rsidP="00621BCA">
      <w:pPr>
        <w:spacing w:before="120"/>
        <w:jc w:val="both"/>
        <w:rPr>
          <w:iCs/>
        </w:rPr>
      </w:pPr>
      <w:r w:rsidRPr="005C325E">
        <w:rPr>
          <w:iCs/>
        </w:rPr>
        <w:t>Под оборотом Клиента за день</w:t>
      </w:r>
      <w:r w:rsidR="00497D7E" w:rsidRPr="005C325E">
        <w:rPr>
          <w:iCs/>
        </w:rPr>
        <w:t xml:space="preserve"> с ценными бумагами (акциями, облигациями,</w:t>
      </w:r>
      <w:r w:rsidR="004A5490" w:rsidRPr="005C325E">
        <w:t xml:space="preserve"> </w:t>
      </w:r>
      <w:r w:rsidR="004A5490" w:rsidRPr="005C325E">
        <w:rPr>
          <w:iCs/>
        </w:rPr>
        <w:t>паями, депозитарными расписками</w:t>
      </w:r>
      <w:r w:rsidR="00204EBE" w:rsidRPr="005C325E">
        <w:rPr>
          <w:iCs/>
        </w:rPr>
        <w:t xml:space="preserve"> и т.д.</w:t>
      </w:r>
      <w:r w:rsidR="00497D7E" w:rsidRPr="005C325E">
        <w:rPr>
          <w:iCs/>
        </w:rPr>
        <w:t>)</w:t>
      </w:r>
      <w:r w:rsidRPr="005C325E">
        <w:rPr>
          <w:iCs/>
        </w:rPr>
        <w:t xml:space="preserve"> понимается</w:t>
      </w:r>
      <w:r w:rsidR="0021034A" w:rsidRPr="005C325E">
        <w:rPr>
          <w:iCs/>
        </w:rPr>
        <w:t xml:space="preserve"> выраженная в рублях РФ</w:t>
      </w:r>
      <w:r w:rsidRPr="005C325E">
        <w:rPr>
          <w:iCs/>
        </w:rPr>
        <w:t xml:space="preserve"> общая сумма</w:t>
      </w:r>
      <w:r w:rsidR="0021034A" w:rsidRPr="005C325E">
        <w:rPr>
          <w:iCs/>
        </w:rPr>
        <w:t xml:space="preserve"> оборотов</w:t>
      </w:r>
      <w:r w:rsidRPr="005C325E">
        <w:rPr>
          <w:iCs/>
        </w:rPr>
        <w:t xml:space="preserve"> всех заключенных сделок с </w:t>
      </w:r>
      <w:r w:rsidR="00B43801" w:rsidRPr="005C325E">
        <w:rPr>
          <w:iCs/>
        </w:rPr>
        <w:t>соответствующим</w:t>
      </w:r>
      <w:r w:rsidR="00497D7E" w:rsidRPr="005C325E">
        <w:rPr>
          <w:iCs/>
        </w:rPr>
        <w:t>и ценными бумагами</w:t>
      </w:r>
      <w:r w:rsidR="0021034A" w:rsidRPr="005C325E">
        <w:rPr>
          <w:iCs/>
        </w:rPr>
        <w:t xml:space="preserve"> на соответствующем сегменте рынка (ПАО Московская Биржа,</w:t>
      </w:r>
      <w:r w:rsidR="00243C2C" w:rsidRPr="005C325E">
        <w:rPr>
          <w:iCs/>
        </w:rPr>
        <w:t xml:space="preserve"> ПАО</w:t>
      </w:r>
      <w:r w:rsidR="00243C2C" w:rsidRPr="005C325E">
        <w:t xml:space="preserve"> </w:t>
      </w:r>
      <w:r w:rsidR="00243C2C" w:rsidRPr="005C325E">
        <w:rPr>
          <w:iCs/>
        </w:rPr>
        <w:t>Санкт-Петербургская биржа,</w:t>
      </w:r>
      <w:r w:rsidR="0021034A" w:rsidRPr="005C325E">
        <w:rPr>
          <w:iCs/>
        </w:rPr>
        <w:t xml:space="preserve"> </w:t>
      </w:r>
      <w:r w:rsidR="00860221" w:rsidRPr="005C325E">
        <w:rPr>
          <w:iCs/>
        </w:rPr>
        <w:t>В</w:t>
      </w:r>
      <w:r w:rsidR="0021034A" w:rsidRPr="005C325E">
        <w:rPr>
          <w:iCs/>
        </w:rPr>
        <w:t>небиржевой рынок)</w:t>
      </w:r>
      <w:r w:rsidR="004A5490" w:rsidRPr="005C325E">
        <w:rPr>
          <w:iCs/>
        </w:rPr>
        <w:t xml:space="preserve"> за вычетом оборота по сделкам РЕПО</w:t>
      </w:r>
      <w:r w:rsidR="00B43801" w:rsidRPr="005C325E">
        <w:rPr>
          <w:iCs/>
        </w:rPr>
        <w:t>.</w:t>
      </w:r>
      <w:r w:rsidR="00C12432" w:rsidRPr="005C325E">
        <w:rPr>
          <w:iCs/>
        </w:rPr>
        <w:t xml:space="preserve"> В обороте</w:t>
      </w:r>
      <w:r w:rsidR="00497D7E" w:rsidRPr="005C325E">
        <w:rPr>
          <w:iCs/>
        </w:rPr>
        <w:t xml:space="preserve"> за день</w:t>
      </w:r>
      <w:r w:rsidR="00C12432" w:rsidRPr="005C325E">
        <w:rPr>
          <w:iCs/>
        </w:rPr>
        <w:t xml:space="preserve"> по облигациям учитывается накопленный купонный доход</w:t>
      </w:r>
      <w:r w:rsidR="00B43801" w:rsidRPr="005C325E">
        <w:rPr>
          <w:iCs/>
        </w:rPr>
        <w:t xml:space="preserve">. </w:t>
      </w:r>
    </w:p>
    <w:p w14:paraId="7AF9894D" w14:textId="77777777" w:rsidR="00451E38" w:rsidRPr="005C325E" w:rsidRDefault="00451E38" w:rsidP="00621BCA">
      <w:pPr>
        <w:spacing w:before="120"/>
        <w:jc w:val="both"/>
        <w:rPr>
          <w:b/>
          <w:bCs/>
        </w:rPr>
      </w:pPr>
      <w:r w:rsidRPr="005C325E">
        <w:rPr>
          <w:bCs/>
          <w:iCs/>
        </w:rPr>
        <w:t>Под оборотом Клиента за день по сделкам купли-продажи иностранной валюты понимается общая сумма соответствующих сделок</w:t>
      </w:r>
      <w:r w:rsidR="00E837BD" w:rsidRPr="005C325E">
        <w:rPr>
          <w:bCs/>
          <w:iCs/>
        </w:rPr>
        <w:t xml:space="preserve"> в базовой валюте</w:t>
      </w:r>
      <w:r w:rsidRPr="005C325E">
        <w:rPr>
          <w:bCs/>
          <w:iCs/>
        </w:rPr>
        <w:t>, зак</w:t>
      </w:r>
      <w:r w:rsidR="00E24AAF" w:rsidRPr="005C325E">
        <w:rPr>
          <w:bCs/>
          <w:iCs/>
        </w:rPr>
        <w:t>люченных РЕГИОНОМ на основании П</w:t>
      </w:r>
      <w:r w:rsidRPr="005C325E">
        <w:rPr>
          <w:bCs/>
          <w:iCs/>
        </w:rPr>
        <w:t>оручений Клиента за ден</w:t>
      </w:r>
      <w:r w:rsidR="00E837BD" w:rsidRPr="005C325E">
        <w:rPr>
          <w:bCs/>
          <w:iCs/>
        </w:rPr>
        <w:t>ь, выраженная в валюте Российской Федерации</w:t>
      </w:r>
      <w:r w:rsidRPr="005C325E">
        <w:rPr>
          <w:bCs/>
          <w:iCs/>
        </w:rPr>
        <w:t>.</w:t>
      </w:r>
      <w:r w:rsidR="00E837BD" w:rsidRPr="005C325E">
        <w:rPr>
          <w:bCs/>
          <w:iCs/>
        </w:rPr>
        <w:t xml:space="preserve"> В случае отличия базовой валюты от валюты Российской Федерации пересчет базовой валюты в валюту Российской Федерации осуществляется по курс ЦБ РФ на дату сделки. </w:t>
      </w:r>
    </w:p>
    <w:p w14:paraId="174EBA4E" w14:textId="386E6FAE" w:rsidR="007A2862" w:rsidRPr="005C325E" w:rsidRDefault="006351E4" w:rsidP="00D67F0F">
      <w:pPr>
        <w:spacing w:before="120"/>
      </w:pPr>
      <w:r w:rsidRPr="005C325E">
        <w:rPr>
          <w:bCs/>
          <w:iCs/>
        </w:rPr>
        <w:t>Под оборотом Клиента за день по сделкам</w:t>
      </w:r>
      <w:r w:rsidRPr="005C325E">
        <w:t xml:space="preserve"> </w:t>
      </w:r>
      <w:proofErr w:type="spellStart"/>
      <w:r w:rsidRPr="005C325E">
        <w:rPr>
          <w:bCs/>
          <w:iCs/>
        </w:rPr>
        <w:t>сделкам</w:t>
      </w:r>
      <w:proofErr w:type="spellEnd"/>
      <w:r w:rsidRPr="005C325E">
        <w:rPr>
          <w:bCs/>
          <w:iCs/>
        </w:rPr>
        <w:t xml:space="preserve"> купли-продажи </w:t>
      </w:r>
      <w:r w:rsidR="009D2627" w:rsidRPr="005C325E">
        <w:rPr>
          <w:bCs/>
          <w:iCs/>
        </w:rPr>
        <w:t xml:space="preserve">с </w:t>
      </w:r>
      <w:r w:rsidR="009D2627" w:rsidRPr="005C325E">
        <w:t>драгоценными металлами</w:t>
      </w:r>
      <w:r w:rsidR="009D2627" w:rsidRPr="005C325E">
        <w:rPr>
          <w:bCs/>
          <w:iCs/>
        </w:rPr>
        <w:t xml:space="preserve"> понимается </w:t>
      </w:r>
      <w:r w:rsidR="009B1709" w:rsidRPr="005C325E">
        <w:rPr>
          <w:iCs/>
        </w:rPr>
        <w:t>выраженная в рублях РФ общая сумма оборотов всех заключенных сделок с соответствующими</w:t>
      </w:r>
      <w:r w:rsidR="009B1709" w:rsidRPr="005C325E">
        <w:t xml:space="preserve"> драгоценными металлами</w:t>
      </w:r>
      <w:r w:rsidR="00C86A38" w:rsidRPr="005C325E">
        <w:t xml:space="preserve"> на организованных торгах </w:t>
      </w:r>
      <w:r w:rsidR="00C86A38" w:rsidRPr="005C325E">
        <w:rPr>
          <w:iCs/>
        </w:rPr>
        <w:t>ПАО Московская Биржа</w:t>
      </w:r>
      <w:r w:rsidR="009B1709" w:rsidRPr="005C325E">
        <w:t>.</w:t>
      </w:r>
    </w:p>
    <w:p w14:paraId="1E7328CC" w14:textId="77777777" w:rsidR="009B1709" w:rsidRPr="005C325E" w:rsidRDefault="009B1709" w:rsidP="00D67F0F">
      <w:pPr>
        <w:spacing w:before="120"/>
        <w:rPr>
          <w:bCs/>
          <w:i/>
          <w:iCs/>
        </w:rPr>
      </w:pPr>
    </w:p>
    <w:p w14:paraId="424DF0A4" w14:textId="77777777" w:rsidR="00D57358" w:rsidRPr="005C325E" w:rsidRDefault="00D57358">
      <w:pPr>
        <w:rPr>
          <w:b/>
          <w:bCs/>
        </w:rPr>
      </w:pPr>
      <w:r w:rsidRPr="005C325E">
        <w:rPr>
          <w:b/>
          <w:bCs/>
        </w:rPr>
        <w:br w:type="page"/>
      </w:r>
    </w:p>
    <w:p w14:paraId="4315A728" w14:textId="77777777" w:rsidR="008016BA" w:rsidRPr="005C325E" w:rsidRDefault="00860221" w:rsidP="006D6E31">
      <w:pPr>
        <w:spacing w:before="120" w:after="120"/>
        <w:rPr>
          <w:b/>
          <w:bCs/>
        </w:rPr>
      </w:pPr>
      <w:r w:rsidRPr="005C325E">
        <w:rPr>
          <w:b/>
          <w:bCs/>
          <w:lang w:val="en-US"/>
        </w:rPr>
        <w:lastRenderedPageBreak/>
        <w:t>II</w:t>
      </w:r>
      <w:r w:rsidRPr="005C325E">
        <w:rPr>
          <w:b/>
          <w:bCs/>
        </w:rPr>
        <w:t>.</w:t>
      </w:r>
      <w:r w:rsidR="00BA4DAB" w:rsidRPr="005C325E">
        <w:rPr>
          <w:b/>
          <w:bCs/>
        </w:rPr>
        <w:t xml:space="preserve"> ТАРИФ </w:t>
      </w:r>
      <w:r w:rsidR="008016BA" w:rsidRPr="005C325E">
        <w:rPr>
          <w:b/>
          <w:bCs/>
        </w:rPr>
        <w:t>УНИВЕРСАЛЬНЫЙ</w:t>
      </w:r>
    </w:p>
    <w:p w14:paraId="30BA92BB" w14:textId="77777777" w:rsidR="00D57358" w:rsidRPr="005C325E" w:rsidRDefault="00D57358" w:rsidP="00BA4DAB">
      <w:pPr>
        <w:spacing w:before="120" w:after="120"/>
        <w:rPr>
          <w:bCs/>
        </w:rPr>
      </w:pPr>
    </w:p>
    <w:p w14:paraId="009BEAAD" w14:textId="77777777" w:rsidR="00BA4DAB" w:rsidRPr="005C325E" w:rsidRDefault="00BA4DAB" w:rsidP="00BA4DAB">
      <w:pPr>
        <w:spacing w:before="120" w:after="120"/>
        <w:rPr>
          <w:bCs/>
        </w:rPr>
      </w:pPr>
      <w:r w:rsidRPr="005C325E">
        <w:rPr>
          <w:bCs/>
        </w:rPr>
        <w:t>ОБСЛУЖИВАНИЕ СЧЁТА</w:t>
      </w:r>
    </w:p>
    <w:p w14:paraId="7886A10C" w14:textId="77777777" w:rsidR="006D6E31" w:rsidRPr="005C325E" w:rsidRDefault="00B07DD6" w:rsidP="003E0D69">
      <w:pPr>
        <w:spacing w:before="120" w:after="120"/>
        <w:rPr>
          <w:b/>
          <w:bCs/>
        </w:rPr>
      </w:pPr>
      <w:r w:rsidRPr="005C325E">
        <w:rPr>
          <w:bCs/>
        </w:rPr>
        <w:t xml:space="preserve">Минимальное вознаграждение РЕГИОНА за обслуживание брокерского счёта </w:t>
      </w:r>
      <w:r w:rsidRPr="005C325E">
        <w:rPr>
          <w:b/>
          <w:bCs/>
        </w:rPr>
        <w:t>отсутствует</w:t>
      </w:r>
      <w:r w:rsidR="00860221" w:rsidRPr="005C325E">
        <w:rPr>
          <w:b/>
          <w:bCs/>
        </w:rPr>
        <w:t>.</w:t>
      </w:r>
    </w:p>
    <w:p w14:paraId="5FDD3E06" w14:textId="77777777" w:rsidR="006D6E31" w:rsidRPr="005C325E" w:rsidRDefault="006D6E31" w:rsidP="008016BA">
      <w:pPr>
        <w:spacing w:before="120" w:after="120"/>
        <w:rPr>
          <w:b/>
          <w:bCs/>
        </w:rPr>
      </w:pPr>
    </w:p>
    <w:p w14:paraId="45A14A84" w14:textId="77777777" w:rsidR="00D57358" w:rsidRPr="005C325E" w:rsidRDefault="00D57358" w:rsidP="00D57358">
      <w:pPr>
        <w:spacing w:before="120" w:after="120"/>
        <w:rPr>
          <w:bCs/>
        </w:rPr>
      </w:pPr>
      <w:r w:rsidRPr="005C325E">
        <w:rPr>
          <w:bCs/>
        </w:rPr>
        <w:t>ФОНДОВЫЙ РЫНОК МОСКОВСКОЙ БИРЖИ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103"/>
      </w:tblGrid>
      <w:tr w:rsidR="005C325E" w:rsidRPr="005C325E" w14:paraId="4162093D" w14:textId="77777777" w:rsidTr="00180FB2">
        <w:trPr>
          <w:cantSplit/>
          <w:trHeight w:val="781"/>
        </w:trPr>
        <w:tc>
          <w:tcPr>
            <w:tcW w:w="10456" w:type="dxa"/>
            <w:gridSpan w:val="2"/>
            <w:shd w:val="clear" w:color="auto" w:fill="E0E0E0"/>
            <w:vAlign w:val="center"/>
          </w:tcPr>
          <w:p w14:paraId="57B477BA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купли-продажи с ценными бумагами – расчеты по сделке в валюте РФ</w:t>
            </w:r>
          </w:p>
        </w:tc>
      </w:tr>
      <w:tr w:rsidR="005C325E" w:rsidRPr="005C325E" w14:paraId="17732206" w14:textId="77777777" w:rsidTr="00D57358">
        <w:trPr>
          <w:trHeight w:val="501"/>
        </w:trPr>
        <w:tc>
          <w:tcPr>
            <w:tcW w:w="5353" w:type="dxa"/>
            <w:vAlign w:val="center"/>
          </w:tcPr>
          <w:p w14:paraId="69094DDD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103" w:type="dxa"/>
            <w:vAlign w:val="center"/>
          </w:tcPr>
          <w:p w14:paraId="24FCF5EC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D57358" w:rsidRPr="005C325E" w14:paraId="740EE170" w14:textId="77777777" w:rsidTr="00D57358">
        <w:trPr>
          <w:cantSplit/>
          <w:trHeight w:val="409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36ECF801" w14:textId="77777777" w:rsidR="00D57358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Вне зависимости от оборота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BF2FE34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0,2% от оборота за день</w:t>
            </w:r>
          </w:p>
        </w:tc>
      </w:tr>
    </w:tbl>
    <w:p w14:paraId="79EB69A3" w14:textId="77777777" w:rsidR="00D57358" w:rsidRPr="005C325E" w:rsidRDefault="00D57358" w:rsidP="008016BA">
      <w:pPr>
        <w:spacing w:before="120" w:after="120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447A9043" w14:textId="77777777" w:rsidTr="00180FB2">
        <w:trPr>
          <w:cantSplit/>
          <w:trHeight w:val="749"/>
        </w:trPr>
        <w:tc>
          <w:tcPr>
            <w:tcW w:w="10456" w:type="dxa"/>
            <w:shd w:val="clear" w:color="auto" w:fill="E0E0E0"/>
            <w:vAlign w:val="center"/>
          </w:tcPr>
          <w:p w14:paraId="57409E68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по покупке ценных бумаг в процессе размещения</w:t>
            </w:r>
          </w:p>
          <w:p w14:paraId="6509CFEC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(кроме краткосрочных облигаций российских эмитентов)</w:t>
            </w:r>
          </w:p>
        </w:tc>
      </w:tr>
      <w:tr w:rsidR="00D57358" w:rsidRPr="005C325E" w14:paraId="09A7D04D" w14:textId="77777777" w:rsidTr="00180FB2">
        <w:trPr>
          <w:cantSplit/>
          <w:trHeight w:val="46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2CFD3A06" w14:textId="77777777" w:rsidR="00D57358" w:rsidRPr="005C325E" w:rsidRDefault="00D57358" w:rsidP="00180FB2">
            <w:pPr>
              <w:tabs>
                <w:tab w:val="num" w:pos="1260"/>
              </w:tabs>
              <w:jc w:val="center"/>
            </w:pPr>
            <w:r w:rsidRPr="005C325E">
              <w:t>0,2% от оборота за день</w:t>
            </w:r>
          </w:p>
        </w:tc>
      </w:tr>
    </w:tbl>
    <w:p w14:paraId="05EEBE77" w14:textId="77777777" w:rsidR="00D57358" w:rsidRPr="005C325E" w:rsidRDefault="00D57358" w:rsidP="008016BA">
      <w:pPr>
        <w:spacing w:before="120" w:after="120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2A836E4B" w14:textId="77777777" w:rsidTr="00D2107B">
        <w:trPr>
          <w:cantSplit/>
          <w:trHeight w:val="829"/>
        </w:trPr>
        <w:tc>
          <w:tcPr>
            <w:tcW w:w="10456" w:type="dxa"/>
            <w:shd w:val="clear" w:color="auto" w:fill="E0E0E0"/>
            <w:vAlign w:val="center"/>
          </w:tcPr>
          <w:p w14:paraId="330DA051" w14:textId="77777777" w:rsidR="000405D6" w:rsidRPr="005C325E" w:rsidRDefault="000405D6" w:rsidP="00D2107B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по покупке краткосрочных облигаций российских эмитентов</w:t>
            </w:r>
          </w:p>
          <w:p w14:paraId="2CCC0909" w14:textId="77777777" w:rsidR="000405D6" w:rsidRPr="005C325E" w:rsidRDefault="000405D6" w:rsidP="00D2107B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(в том числе в процессе их размещения)</w:t>
            </w:r>
          </w:p>
        </w:tc>
      </w:tr>
      <w:tr w:rsidR="005C325E" w:rsidRPr="005C325E" w14:paraId="0196572F" w14:textId="77777777" w:rsidTr="00D2107B">
        <w:trPr>
          <w:cantSplit/>
          <w:trHeight w:val="41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0F2B0CCA" w14:textId="77777777" w:rsidR="000405D6" w:rsidRPr="005C325E" w:rsidRDefault="000405D6" w:rsidP="00D2107B">
            <w:pPr>
              <w:tabs>
                <w:tab w:val="num" w:pos="1260"/>
              </w:tabs>
              <w:jc w:val="center"/>
            </w:pPr>
            <w:r w:rsidRPr="005C325E">
              <w:t>0,3 % годовых от суммы сделки включая накопленный купонный доход</w:t>
            </w:r>
          </w:p>
        </w:tc>
      </w:tr>
      <w:tr w:rsidR="005C325E" w:rsidRPr="005C325E" w14:paraId="082E6C39" w14:textId="77777777" w:rsidTr="00D2107B">
        <w:trPr>
          <w:cantSplit/>
          <w:trHeight w:val="430"/>
        </w:trPr>
        <w:tc>
          <w:tcPr>
            <w:tcW w:w="10456" w:type="dxa"/>
            <w:shd w:val="clear" w:color="auto" w:fill="E0E0E0"/>
            <w:vAlign w:val="center"/>
          </w:tcPr>
          <w:p w14:paraId="7F9B6995" w14:textId="77777777" w:rsidR="000405D6" w:rsidRPr="005C325E" w:rsidRDefault="000405D6" w:rsidP="00D2107B">
            <w:pPr>
              <w:tabs>
                <w:tab w:val="num" w:pos="1260"/>
              </w:tabs>
              <w:jc w:val="center"/>
              <w:rPr>
                <w:b/>
                <w:i/>
                <w:iCs/>
              </w:rPr>
            </w:pPr>
            <w:r w:rsidRPr="005C325E">
              <w:rPr>
                <w:iCs/>
              </w:rPr>
              <w:t>Заключение сделок по продаже краткосрочных облигаций российских эмитентов</w:t>
            </w:r>
          </w:p>
        </w:tc>
      </w:tr>
      <w:tr w:rsidR="000405D6" w:rsidRPr="005C325E" w14:paraId="60E8DAD4" w14:textId="77777777" w:rsidTr="00D2107B">
        <w:trPr>
          <w:cantSplit/>
          <w:trHeight w:val="507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77FA85B8" w14:textId="77777777" w:rsidR="000405D6" w:rsidRPr="005C325E" w:rsidRDefault="000405D6" w:rsidP="00D2107B">
            <w:pPr>
              <w:tabs>
                <w:tab w:val="num" w:pos="1260"/>
              </w:tabs>
              <w:jc w:val="center"/>
            </w:pPr>
            <w:r w:rsidRPr="005C325E">
              <w:t>0,1% от оборота за день</w:t>
            </w:r>
          </w:p>
        </w:tc>
      </w:tr>
    </w:tbl>
    <w:p w14:paraId="601FE1F0" w14:textId="77777777" w:rsidR="000405D6" w:rsidRPr="005C325E" w:rsidRDefault="000405D6" w:rsidP="008016BA">
      <w:pPr>
        <w:spacing w:before="120" w:after="120"/>
        <w:rPr>
          <w:b/>
          <w:bCs/>
        </w:rPr>
      </w:pPr>
    </w:p>
    <w:p w14:paraId="422B95BF" w14:textId="77777777" w:rsidR="00D57358" w:rsidRPr="005C325E" w:rsidRDefault="00D57358" w:rsidP="00D57358">
      <w:pPr>
        <w:pStyle w:val="6"/>
        <w:spacing w:after="120"/>
        <w:jc w:val="both"/>
        <w:rPr>
          <w:b w:val="0"/>
          <w:iCs/>
        </w:rPr>
      </w:pPr>
      <w:r w:rsidRPr="005C325E">
        <w:rPr>
          <w:b w:val="0"/>
          <w:iCs/>
        </w:rPr>
        <w:t>ВАЛЮТНЫЙ РЫНОК ПАО МОСКОВСКАЯ БИРЖА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5C325E" w:rsidRPr="005C325E" w14:paraId="5F75BE9F" w14:textId="77777777" w:rsidTr="00180FB2">
        <w:trPr>
          <w:cantSplit/>
          <w:trHeight w:val="75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1C86E6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>Заключение сделок купли-продажи иностранной валюты</w:t>
            </w:r>
          </w:p>
          <w:p w14:paraId="6A6FD61B" w14:textId="77777777" w:rsidR="00D57358" w:rsidRPr="005C325E" w:rsidRDefault="00D57358" w:rsidP="00D5735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bCs/>
                <w:iCs/>
              </w:rPr>
              <w:t>через Организатора торговли ПАО Московская Биржа</w:t>
            </w:r>
          </w:p>
        </w:tc>
      </w:tr>
      <w:tr w:rsidR="005C325E" w:rsidRPr="005C325E" w14:paraId="6875E6D6" w14:textId="77777777" w:rsidTr="00180FB2">
        <w:trPr>
          <w:trHeight w:val="393"/>
        </w:trPr>
        <w:tc>
          <w:tcPr>
            <w:tcW w:w="5245" w:type="dxa"/>
            <w:vAlign w:val="center"/>
          </w:tcPr>
          <w:p w14:paraId="431EBA6B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Оборот за день (руб.)</w:t>
            </w:r>
          </w:p>
        </w:tc>
        <w:tc>
          <w:tcPr>
            <w:tcW w:w="5245" w:type="dxa"/>
            <w:vAlign w:val="center"/>
          </w:tcPr>
          <w:p w14:paraId="0CE280DA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Вознаграждение (в % от оборота за день)</w:t>
            </w:r>
          </w:p>
        </w:tc>
      </w:tr>
      <w:tr w:rsidR="005C325E" w:rsidRPr="005C325E" w14:paraId="75B31B0F" w14:textId="77777777" w:rsidTr="00180FB2">
        <w:trPr>
          <w:trHeight w:val="710"/>
        </w:trPr>
        <w:tc>
          <w:tcPr>
            <w:tcW w:w="5245" w:type="dxa"/>
            <w:vAlign w:val="center"/>
          </w:tcPr>
          <w:p w14:paraId="0E259010" w14:textId="77777777" w:rsidR="00D57358" w:rsidRPr="005C325E" w:rsidRDefault="00D57358" w:rsidP="00180FB2">
            <w:pPr>
              <w:pStyle w:val="a4"/>
              <w:spacing w:line="240" w:lineRule="auto"/>
              <w:jc w:val="center"/>
            </w:pPr>
            <w:r w:rsidRPr="005C325E">
              <w:t>Вне зависимости от оборота</w:t>
            </w:r>
          </w:p>
        </w:tc>
        <w:tc>
          <w:tcPr>
            <w:tcW w:w="5245" w:type="dxa"/>
            <w:vAlign w:val="center"/>
          </w:tcPr>
          <w:p w14:paraId="52147401" w14:textId="77777777" w:rsidR="00D57358" w:rsidRPr="005C325E" w:rsidRDefault="00D57358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t>0,1% от оборота за день</w:t>
            </w:r>
          </w:p>
        </w:tc>
      </w:tr>
    </w:tbl>
    <w:p w14:paraId="7A73E70A" w14:textId="77777777" w:rsidR="000405D6" w:rsidRPr="005C325E" w:rsidRDefault="000405D6" w:rsidP="000405D6">
      <w:pPr>
        <w:pStyle w:val="6"/>
        <w:spacing w:after="120"/>
        <w:jc w:val="both"/>
        <w:rPr>
          <w:b w:val="0"/>
          <w:iCs/>
        </w:rPr>
      </w:pPr>
    </w:p>
    <w:p w14:paraId="4B7357F4" w14:textId="77777777" w:rsidR="000405D6" w:rsidRPr="005C325E" w:rsidRDefault="000405D6" w:rsidP="000405D6">
      <w:pPr>
        <w:pStyle w:val="6"/>
        <w:spacing w:after="120"/>
        <w:jc w:val="both"/>
        <w:rPr>
          <w:b w:val="0"/>
          <w:iCs/>
        </w:rPr>
      </w:pPr>
      <w:r w:rsidRPr="005C325E">
        <w:rPr>
          <w:b w:val="0"/>
          <w:iCs/>
        </w:rPr>
        <w:t xml:space="preserve">РЫНОК ДРАГОЦЕННЫХ МЕТАЛЛОВ </w:t>
      </w:r>
      <w:r w:rsidRPr="005C325E">
        <w:rPr>
          <w:b w:val="0"/>
        </w:rPr>
        <w:t>ПАО МОСКОВСКАЯ БИРЖА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5C325E" w:rsidRPr="005C325E" w14:paraId="1FB01053" w14:textId="77777777" w:rsidTr="00D2107B">
        <w:trPr>
          <w:cantSplit/>
          <w:trHeight w:val="499"/>
        </w:trPr>
        <w:tc>
          <w:tcPr>
            <w:tcW w:w="10456" w:type="dxa"/>
            <w:shd w:val="clear" w:color="auto" w:fill="E0E0E0"/>
            <w:vAlign w:val="center"/>
          </w:tcPr>
          <w:p w14:paraId="23020615" w14:textId="77777777" w:rsidR="000405D6" w:rsidRPr="005C325E" w:rsidRDefault="000405D6" w:rsidP="00D2107B">
            <w:pPr>
              <w:tabs>
                <w:tab w:val="num" w:pos="1260"/>
              </w:tabs>
              <w:jc w:val="center"/>
              <w:rPr>
                <w:bCs/>
                <w:iCs/>
              </w:rPr>
            </w:pPr>
            <w:r w:rsidRPr="005C325E">
              <w:rPr>
                <w:bCs/>
                <w:iCs/>
              </w:rPr>
              <w:t xml:space="preserve">Заключение сделок купли-продажи на рынке драгоценных металлов </w:t>
            </w:r>
          </w:p>
        </w:tc>
      </w:tr>
      <w:tr w:rsidR="000405D6" w:rsidRPr="005C325E" w14:paraId="7C42F09F" w14:textId="77777777" w:rsidTr="00D2107B">
        <w:trPr>
          <w:trHeight w:val="421"/>
        </w:trPr>
        <w:tc>
          <w:tcPr>
            <w:tcW w:w="10456" w:type="dxa"/>
            <w:vAlign w:val="center"/>
          </w:tcPr>
          <w:p w14:paraId="406EF893" w14:textId="77777777" w:rsidR="000405D6" w:rsidRPr="005C325E" w:rsidRDefault="000405D6" w:rsidP="002D6038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t>0,2% от о</w:t>
            </w:r>
            <w:r w:rsidRPr="005C325E">
              <w:rPr>
                <w:iCs/>
              </w:rPr>
              <w:t xml:space="preserve">борота за день (руб.), но не менее 50 рублей за </w:t>
            </w:r>
            <w:r w:rsidR="002D6038" w:rsidRPr="005C325E">
              <w:t>сделку</w:t>
            </w:r>
          </w:p>
        </w:tc>
      </w:tr>
    </w:tbl>
    <w:p w14:paraId="2F160012" w14:textId="77777777" w:rsidR="0088730D" w:rsidRPr="005C325E" w:rsidRDefault="0088730D" w:rsidP="00E82A92">
      <w:pPr>
        <w:spacing w:before="120" w:after="120"/>
        <w:rPr>
          <w:bCs/>
        </w:rPr>
      </w:pPr>
    </w:p>
    <w:p w14:paraId="7A0D7333" w14:textId="77777777" w:rsidR="00325AC7" w:rsidRPr="005C325E" w:rsidRDefault="00325AC7" w:rsidP="00E82A92">
      <w:pPr>
        <w:spacing w:before="120" w:after="120"/>
        <w:rPr>
          <w:bCs/>
        </w:rPr>
      </w:pPr>
    </w:p>
    <w:p w14:paraId="7109625C" w14:textId="77777777" w:rsidR="00325AC7" w:rsidRPr="005C325E" w:rsidRDefault="00325AC7" w:rsidP="00E82A92">
      <w:pPr>
        <w:spacing w:before="120" w:after="120"/>
        <w:rPr>
          <w:bCs/>
        </w:rPr>
      </w:pPr>
    </w:p>
    <w:p w14:paraId="100F66ED" w14:textId="77777777" w:rsidR="00E82A92" w:rsidRPr="005C325E" w:rsidRDefault="00E82A92" w:rsidP="00E82A92">
      <w:pPr>
        <w:spacing w:before="120" w:after="120"/>
        <w:rPr>
          <w:bCs/>
          <w:caps/>
        </w:rPr>
      </w:pPr>
      <w:r w:rsidRPr="005C325E">
        <w:rPr>
          <w:bCs/>
          <w:caps/>
        </w:rPr>
        <w:lastRenderedPageBreak/>
        <w:t>срочнЫЙ рынОК ПАО Московская Биржа</w:t>
      </w:r>
    </w:p>
    <w:tbl>
      <w:tblPr>
        <w:tblW w:w="107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5452"/>
      </w:tblGrid>
      <w:tr w:rsidR="005C325E" w:rsidRPr="005C325E" w14:paraId="36F3F88F" w14:textId="77777777" w:rsidTr="000405D6">
        <w:trPr>
          <w:cantSplit/>
          <w:trHeight w:val="439"/>
        </w:trPr>
        <w:tc>
          <w:tcPr>
            <w:tcW w:w="1072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EC3D2F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срочных сделок</w:t>
            </w:r>
          </w:p>
        </w:tc>
      </w:tr>
      <w:tr w:rsidR="005C325E" w:rsidRPr="005C325E" w14:paraId="57B90762" w14:textId="77777777" w:rsidTr="000405D6">
        <w:trPr>
          <w:cantSplit/>
          <w:trHeight w:val="1112"/>
        </w:trPr>
        <w:tc>
          <w:tcPr>
            <w:tcW w:w="5274" w:type="dxa"/>
            <w:vAlign w:val="center"/>
          </w:tcPr>
          <w:p w14:paraId="4893608A" w14:textId="77777777" w:rsidR="00E82A92" w:rsidRPr="005C325E" w:rsidRDefault="00E82A92" w:rsidP="00180FB2">
            <w:pPr>
              <w:tabs>
                <w:tab w:val="num" w:pos="1260"/>
              </w:tabs>
              <w:jc w:val="center"/>
            </w:pPr>
            <w:r w:rsidRPr="005C325E">
              <w:t>За каждый заключенный фьючерсный контракт или контракт на покупку/продажу одного опциона</w:t>
            </w:r>
          </w:p>
        </w:tc>
        <w:tc>
          <w:tcPr>
            <w:tcW w:w="5452" w:type="dxa"/>
            <w:vAlign w:val="center"/>
          </w:tcPr>
          <w:p w14:paraId="58EB58C3" w14:textId="77777777" w:rsidR="00E82A92" w:rsidRPr="005C325E" w:rsidRDefault="00E82A92" w:rsidP="00E82A92">
            <w:pPr>
              <w:tabs>
                <w:tab w:val="num" w:pos="1260"/>
              </w:tabs>
              <w:jc w:val="center"/>
            </w:pPr>
            <w:r w:rsidRPr="005C325E">
              <w:t>1,00 руб. за один контракт</w:t>
            </w:r>
          </w:p>
        </w:tc>
      </w:tr>
      <w:tr w:rsidR="005C325E" w:rsidRPr="005C325E" w14:paraId="016E9828" w14:textId="77777777" w:rsidTr="000405D6">
        <w:trPr>
          <w:cantSplit/>
          <w:trHeight w:val="715"/>
        </w:trPr>
        <w:tc>
          <w:tcPr>
            <w:tcW w:w="5274" w:type="dxa"/>
            <w:vAlign w:val="center"/>
          </w:tcPr>
          <w:p w14:paraId="705D0C92" w14:textId="77777777" w:rsidR="00E82A92" w:rsidRPr="005C325E" w:rsidRDefault="00E82A92" w:rsidP="00180FB2">
            <w:pPr>
              <w:tabs>
                <w:tab w:val="num" w:pos="1260"/>
              </w:tabs>
              <w:jc w:val="center"/>
            </w:pPr>
            <w:r w:rsidRPr="005C325E">
              <w:t>Исполнение контракта на поставку ценных бумаг</w:t>
            </w:r>
          </w:p>
        </w:tc>
        <w:tc>
          <w:tcPr>
            <w:tcW w:w="5452" w:type="dxa"/>
            <w:vAlign w:val="center"/>
          </w:tcPr>
          <w:p w14:paraId="3CB8324D" w14:textId="77777777" w:rsidR="00E82A92" w:rsidRPr="005C325E" w:rsidRDefault="00E82A92" w:rsidP="00180FB2">
            <w:pPr>
              <w:tabs>
                <w:tab w:val="num" w:pos="1260"/>
              </w:tabs>
              <w:jc w:val="center"/>
            </w:pPr>
            <w:r w:rsidRPr="005C325E">
              <w:t>0,1% от суммы исполнения, но не менее 100 руб.</w:t>
            </w:r>
          </w:p>
        </w:tc>
      </w:tr>
    </w:tbl>
    <w:p w14:paraId="0ACFE464" w14:textId="77777777" w:rsidR="00A606C8" w:rsidRPr="005C325E" w:rsidRDefault="00A606C8" w:rsidP="008016BA">
      <w:pPr>
        <w:tabs>
          <w:tab w:val="num" w:pos="1260"/>
        </w:tabs>
        <w:jc w:val="both"/>
        <w:rPr>
          <w:b/>
          <w:bCs/>
          <w:i/>
          <w:iCs/>
        </w:rPr>
      </w:pPr>
    </w:p>
    <w:p w14:paraId="64798A19" w14:textId="77777777" w:rsidR="00E82A92" w:rsidRPr="005C325E" w:rsidRDefault="00E82A92" w:rsidP="00E82A92">
      <w:pPr>
        <w:spacing w:before="120" w:after="120"/>
        <w:rPr>
          <w:bCs/>
          <w:caps/>
        </w:rPr>
      </w:pPr>
      <w:r w:rsidRPr="005C325E">
        <w:rPr>
          <w:bCs/>
          <w:caps/>
        </w:rPr>
        <w:t>внебиржевоЙ рынОК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C325E" w:rsidRPr="005C325E" w14:paraId="7D121A8A" w14:textId="77777777" w:rsidTr="00180FB2">
        <w:trPr>
          <w:cantSplit/>
          <w:trHeight w:val="4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B3C826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внебиржевых сделок купли-продажи</w:t>
            </w:r>
            <w:r w:rsidRPr="005C325E">
              <w:t xml:space="preserve"> с ценными бумагами</w:t>
            </w:r>
          </w:p>
        </w:tc>
      </w:tr>
      <w:tr w:rsidR="005C325E" w:rsidRPr="005C325E" w14:paraId="6C365920" w14:textId="77777777" w:rsidTr="00375021">
        <w:trPr>
          <w:cantSplit/>
          <w:trHeight w:val="407"/>
        </w:trPr>
        <w:tc>
          <w:tcPr>
            <w:tcW w:w="10490" w:type="dxa"/>
            <w:vAlign w:val="center"/>
          </w:tcPr>
          <w:p w14:paraId="3A911DF0" w14:textId="77777777" w:rsidR="00E82A92" w:rsidRPr="005C325E" w:rsidRDefault="00E82A92" w:rsidP="00E82A92">
            <w:pPr>
              <w:tabs>
                <w:tab w:val="num" w:pos="1260"/>
              </w:tabs>
              <w:jc w:val="center"/>
            </w:pPr>
            <w:r w:rsidRPr="005C325E">
              <w:t>0,2% от суммы сделки</w:t>
            </w:r>
          </w:p>
        </w:tc>
      </w:tr>
      <w:tr w:rsidR="005C325E" w:rsidRPr="005C325E" w14:paraId="0FE470D6" w14:textId="77777777" w:rsidTr="00180FB2">
        <w:trPr>
          <w:cantSplit/>
          <w:trHeight w:val="40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7C0611C3" w14:textId="77777777" w:rsidR="00325AC7" w:rsidRPr="005C325E" w:rsidRDefault="00325AC7" w:rsidP="00375021">
            <w:pPr>
              <w:spacing w:before="120" w:after="120"/>
              <w:jc w:val="center"/>
              <w:rPr>
                <w:bCs/>
                <w:caps/>
              </w:rPr>
            </w:pPr>
            <w:r w:rsidRPr="005C325E">
              <w:rPr>
                <w:iCs/>
              </w:rPr>
              <w:t>Минимальное вознаграждение:</w:t>
            </w:r>
            <w:r w:rsidRPr="005C325E">
              <w:t xml:space="preserve"> 550 рублей за сделку с расчётами в валюте РФ, не менее 1400 рублей за сделку с расчётами в иностранной валюте</w:t>
            </w:r>
          </w:p>
        </w:tc>
      </w:tr>
    </w:tbl>
    <w:p w14:paraId="49C9731F" w14:textId="77777777" w:rsidR="00325AC7" w:rsidRPr="005C325E" w:rsidRDefault="00325AC7" w:rsidP="00E82A92">
      <w:pPr>
        <w:spacing w:before="120" w:after="120"/>
        <w:rPr>
          <w:iCs/>
        </w:rPr>
      </w:pPr>
    </w:p>
    <w:p w14:paraId="50523AA3" w14:textId="395C9098" w:rsidR="00E82A92" w:rsidRPr="005C325E" w:rsidRDefault="00E82A92" w:rsidP="00E82A92">
      <w:pPr>
        <w:spacing w:before="120" w:after="120"/>
        <w:rPr>
          <w:bCs/>
          <w:cap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C325E" w:rsidRPr="005C325E" w14:paraId="0B7F8005" w14:textId="77777777" w:rsidTr="00180FB2">
        <w:trPr>
          <w:cantSplit/>
          <w:trHeight w:val="4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A058E7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купли-продажи  иностранной валюты на внебиржевом рынке</w:t>
            </w:r>
          </w:p>
        </w:tc>
      </w:tr>
      <w:tr w:rsidR="005C325E" w:rsidRPr="005C325E" w14:paraId="17D34879" w14:textId="77777777" w:rsidTr="00375021">
        <w:trPr>
          <w:cantSplit/>
          <w:trHeight w:val="407"/>
        </w:trPr>
        <w:tc>
          <w:tcPr>
            <w:tcW w:w="10490" w:type="dxa"/>
            <w:vAlign w:val="center"/>
          </w:tcPr>
          <w:p w14:paraId="355EFB16" w14:textId="77777777" w:rsidR="00E82A92" w:rsidRPr="005C325E" w:rsidRDefault="000405D6" w:rsidP="00180FB2">
            <w:pPr>
              <w:tabs>
                <w:tab w:val="num" w:pos="1260"/>
              </w:tabs>
              <w:jc w:val="center"/>
            </w:pPr>
            <w:r w:rsidRPr="005C325E">
              <w:t xml:space="preserve">0,2% </w:t>
            </w:r>
            <w:r w:rsidR="00E82A92" w:rsidRPr="005C325E">
              <w:t>от суммы сделки</w:t>
            </w:r>
          </w:p>
        </w:tc>
      </w:tr>
      <w:tr w:rsidR="005C325E" w:rsidRPr="005C325E" w14:paraId="2EF39A4E" w14:textId="77777777" w:rsidTr="00180FB2">
        <w:trPr>
          <w:cantSplit/>
          <w:trHeight w:val="40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70EC2926" w14:textId="2F23EA04" w:rsidR="00325AC7" w:rsidRPr="005C325E" w:rsidRDefault="00325AC7" w:rsidP="00325AC7">
            <w:pPr>
              <w:tabs>
                <w:tab w:val="num" w:pos="1260"/>
              </w:tabs>
              <w:jc w:val="center"/>
            </w:pPr>
            <w:r w:rsidRPr="005C325E">
              <w:rPr>
                <w:iCs/>
              </w:rPr>
              <w:t>Минимальное вознаграждение</w:t>
            </w:r>
            <w:r w:rsidRPr="005C325E">
              <w:t xml:space="preserve"> 10 рублей за каждую сделку</w:t>
            </w:r>
          </w:p>
        </w:tc>
      </w:tr>
    </w:tbl>
    <w:p w14:paraId="322DAA81" w14:textId="77777777" w:rsidR="00E82A92" w:rsidRPr="005C325E" w:rsidRDefault="00E82A92" w:rsidP="008016BA">
      <w:pPr>
        <w:spacing w:before="120" w:after="120"/>
        <w:rPr>
          <w:bCs/>
          <w:caps/>
        </w:rPr>
      </w:pPr>
    </w:p>
    <w:p w14:paraId="1CF2F174" w14:textId="77777777" w:rsidR="00E82A92" w:rsidRPr="005C325E" w:rsidRDefault="00E82A92" w:rsidP="00E82A92">
      <w:pPr>
        <w:spacing w:before="120" w:after="120"/>
        <w:rPr>
          <w:bCs/>
        </w:rPr>
      </w:pPr>
      <w:r w:rsidRPr="005C325E">
        <w:rPr>
          <w:bCs/>
        </w:rPr>
        <w:t>ЗАКЛЮЧЕНИЕ СДЕЛОК РЕПО И СДЕЛОК ПЕРЕНОСА НЕОБЕСПЕЧЕННОЙ ПОЗИЦИИ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5C325E" w:rsidRPr="005C325E" w14:paraId="5554911C" w14:textId="77777777" w:rsidTr="00180FB2">
        <w:trPr>
          <w:cantSplit/>
          <w:trHeight w:val="44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25B9C5" w14:textId="65FC63CD" w:rsidR="00E82A92" w:rsidRPr="005C325E" w:rsidRDefault="00E82A92" w:rsidP="00E0264A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биржевых сделок РЕПО</w:t>
            </w:r>
            <w:r w:rsidR="00E0264A" w:rsidRPr="005C325E">
              <w:rPr>
                <w:iCs/>
              </w:rPr>
              <w:t xml:space="preserve"> в режимах РЕПО с Центральным контрагентом</w:t>
            </w:r>
            <w:r w:rsidR="003C01B9" w:rsidRPr="005C325E">
              <w:t>*</w:t>
            </w:r>
          </w:p>
        </w:tc>
      </w:tr>
      <w:tr w:rsidR="005C325E" w:rsidRPr="005C325E" w14:paraId="355F98B6" w14:textId="77777777" w:rsidTr="00180FB2">
        <w:trPr>
          <w:trHeight w:val="710"/>
        </w:trPr>
        <w:tc>
          <w:tcPr>
            <w:tcW w:w="5245" w:type="dxa"/>
            <w:vAlign w:val="center"/>
          </w:tcPr>
          <w:p w14:paraId="284FB125" w14:textId="77777777" w:rsidR="00E82A92" w:rsidRPr="005C325E" w:rsidRDefault="00E82A92" w:rsidP="00180FB2">
            <w:pPr>
              <w:pStyle w:val="a4"/>
              <w:spacing w:line="240" w:lineRule="auto"/>
              <w:jc w:val="center"/>
            </w:pPr>
            <w:r w:rsidRPr="005C325E">
              <w:t>Заключение сделок РЕПО в режиме РЕПО с ЦК</w:t>
            </w:r>
          </w:p>
        </w:tc>
        <w:tc>
          <w:tcPr>
            <w:tcW w:w="5245" w:type="dxa"/>
            <w:vAlign w:val="center"/>
          </w:tcPr>
          <w:p w14:paraId="144BA758" w14:textId="77777777" w:rsidR="00E82A92" w:rsidRPr="005C325E" w:rsidRDefault="00E82A92" w:rsidP="00180FB2">
            <w:pPr>
              <w:pStyle w:val="a4"/>
              <w:spacing w:line="240" w:lineRule="auto"/>
              <w:jc w:val="center"/>
              <w:rPr>
                <w:bCs/>
                <w:iCs/>
              </w:rPr>
            </w:pPr>
            <w:r w:rsidRPr="005C325E">
              <w:t>2% годовых от суммы первой части на срок РЕПО, включая накопленный купонный доход</w:t>
            </w:r>
          </w:p>
        </w:tc>
      </w:tr>
    </w:tbl>
    <w:p w14:paraId="478F9E6A" w14:textId="77777777" w:rsidR="00BA486C" w:rsidRPr="005C325E" w:rsidRDefault="00BA486C" w:rsidP="003C01B9">
      <w:pPr>
        <w:tabs>
          <w:tab w:val="num" w:pos="1260"/>
        </w:tabs>
        <w:jc w:val="both"/>
        <w:rPr>
          <w:bCs/>
          <w:iCs/>
        </w:rPr>
      </w:pPr>
    </w:p>
    <w:p w14:paraId="2F724B5F" w14:textId="243214DE" w:rsidR="00E82A92" w:rsidRPr="005C325E" w:rsidRDefault="00BA486C" w:rsidP="00E82A92">
      <w:pPr>
        <w:tabs>
          <w:tab w:val="num" w:pos="1260"/>
        </w:tabs>
        <w:jc w:val="both"/>
        <w:rPr>
          <w:bCs/>
          <w:iCs/>
        </w:rPr>
      </w:pPr>
      <w:r w:rsidRPr="005C325E">
        <w:rPr>
          <w:bCs/>
          <w:iCs/>
        </w:rPr>
        <w:t>* РЕГИОН вправе без объяснения причин отказать в предоставлении данной услуги.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5C325E" w:rsidRPr="005C325E" w14:paraId="0C20FF9C" w14:textId="77777777" w:rsidTr="00180FB2">
        <w:trPr>
          <w:cantSplit/>
          <w:trHeight w:val="539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23967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биржевых сделок переноса необеспеченной позиции</w:t>
            </w:r>
          </w:p>
        </w:tc>
      </w:tr>
      <w:tr w:rsidR="005C325E" w:rsidRPr="005C325E" w14:paraId="3D39668A" w14:textId="77777777" w:rsidTr="00180FB2">
        <w:trPr>
          <w:trHeight w:val="689"/>
        </w:trPr>
        <w:tc>
          <w:tcPr>
            <w:tcW w:w="5245" w:type="dxa"/>
            <w:vAlign w:val="center"/>
          </w:tcPr>
          <w:p w14:paraId="68FAB952" w14:textId="77777777" w:rsidR="00E82A92" w:rsidRPr="005C325E" w:rsidRDefault="00E82A92" w:rsidP="00180FB2">
            <w:pPr>
              <w:pStyle w:val="a4"/>
              <w:spacing w:line="240" w:lineRule="auto"/>
              <w:jc w:val="center"/>
            </w:pPr>
            <w:r w:rsidRPr="005C325E">
              <w:t>Заключение сделок РЕПО для переноса необеспеченной позиции (режим РЕПО с ЦК)</w:t>
            </w:r>
          </w:p>
        </w:tc>
        <w:tc>
          <w:tcPr>
            <w:tcW w:w="5245" w:type="dxa"/>
            <w:vAlign w:val="center"/>
          </w:tcPr>
          <w:p w14:paraId="75A45AB9" w14:textId="77777777" w:rsidR="00E82A92" w:rsidRPr="005C325E" w:rsidRDefault="00E82A92" w:rsidP="00180FB2">
            <w:pPr>
              <w:pStyle w:val="a4"/>
              <w:spacing w:line="240" w:lineRule="auto"/>
              <w:jc w:val="center"/>
              <w:rPr>
                <w:bCs/>
                <w:iCs/>
              </w:rPr>
            </w:pPr>
            <w:r w:rsidRPr="005C325E">
              <w:t xml:space="preserve">2% годовых от суммы первой части на срок РЕПО, включая </w:t>
            </w:r>
            <w:r w:rsidRPr="005C325E">
              <w:rPr>
                <w:iCs/>
              </w:rPr>
              <w:t>накопленный купонный доход</w:t>
            </w:r>
          </w:p>
        </w:tc>
      </w:tr>
      <w:tr w:rsidR="005C325E" w:rsidRPr="005C325E" w14:paraId="5DEDD340" w14:textId="77777777" w:rsidTr="00180FB2">
        <w:trPr>
          <w:trHeight w:val="699"/>
        </w:trPr>
        <w:tc>
          <w:tcPr>
            <w:tcW w:w="5245" w:type="dxa"/>
            <w:vAlign w:val="center"/>
          </w:tcPr>
          <w:p w14:paraId="5E1F955F" w14:textId="77777777" w:rsidR="00E82A92" w:rsidRPr="005C325E" w:rsidRDefault="00E82A92" w:rsidP="00180FB2">
            <w:pPr>
              <w:tabs>
                <w:tab w:val="num" w:pos="1260"/>
              </w:tabs>
              <w:jc w:val="center"/>
            </w:pPr>
            <w:r w:rsidRPr="005C325E">
              <w:rPr>
                <w:iCs/>
              </w:rPr>
              <w:t>Заключение сделок своп</w:t>
            </w:r>
            <w:r w:rsidRPr="005C325E">
              <w:t xml:space="preserve"> с валютой для переноса необеспеченной позиции</w:t>
            </w:r>
          </w:p>
        </w:tc>
        <w:tc>
          <w:tcPr>
            <w:tcW w:w="5245" w:type="dxa"/>
            <w:vAlign w:val="center"/>
          </w:tcPr>
          <w:p w14:paraId="7CB24429" w14:textId="77777777" w:rsidR="00E82A92" w:rsidRPr="005C325E" w:rsidRDefault="00E82A92" w:rsidP="00180FB2">
            <w:pPr>
              <w:pStyle w:val="a4"/>
              <w:spacing w:line="240" w:lineRule="auto"/>
              <w:jc w:val="center"/>
            </w:pPr>
            <w:r w:rsidRPr="005C325E">
              <w:t>0,0015% от суммы сделки, но не менее 100 руб. за каждую сделку</w:t>
            </w:r>
          </w:p>
        </w:tc>
      </w:tr>
    </w:tbl>
    <w:p w14:paraId="0C1112E8" w14:textId="77777777" w:rsidR="00EE305E" w:rsidRPr="005C325E" w:rsidRDefault="00EE305E" w:rsidP="00E82A92">
      <w:pPr>
        <w:tabs>
          <w:tab w:val="num" w:pos="1260"/>
        </w:tabs>
        <w:jc w:val="both"/>
        <w:rPr>
          <w:bCs/>
          <w:iCs/>
        </w:rPr>
      </w:pPr>
    </w:p>
    <w:p w14:paraId="060EFB2B" w14:textId="77777777" w:rsidR="004D3BDC" w:rsidRPr="005C325E" w:rsidRDefault="00E82A92" w:rsidP="004D3BDC">
      <w:pPr>
        <w:spacing w:before="120" w:after="120"/>
        <w:rPr>
          <w:bCs/>
          <w:caps/>
        </w:rPr>
      </w:pPr>
      <w:r w:rsidRPr="005C325E">
        <w:rPr>
          <w:bCs/>
          <w:caps/>
        </w:rPr>
        <w:t>пао спб биржа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C325E" w:rsidRPr="005C325E" w14:paraId="1682428C" w14:textId="77777777" w:rsidTr="00180FB2">
        <w:trPr>
          <w:cantSplit/>
          <w:trHeight w:val="75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C64C88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Заключение сделок купли-продажи с иностранными ценными бумагами на ПАО СПБ БИРЖА</w:t>
            </w:r>
          </w:p>
          <w:p w14:paraId="5D72C1D0" w14:textId="77777777" w:rsidR="00E82A92" w:rsidRPr="005C325E" w:rsidRDefault="00E82A92" w:rsidP="00180FB2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rPr>
                <w:iCs/>
              </w:rPr>
              <w:t>Подача Поручений без использования Системы интернет-трейдинга</w:t>
            </w:r>
          </w:p>
        </w:tc>
      </w:tr>
      <w:tr w:rsidR="005C325E" w:rsidRPr="005C325E" w14:paraId="0F400DD8" w14:textId="77777777" w:rsidTr="00375021">
        <w:trPr>
          <w:trHeight w:val="377"/>
        </w:trPr>
        <w:tc>
          <w:tcPr>
            <w:tcW w:w="10490" w:type="dxa"/>
            <w:vAlign w:val="center"/>
          </w:tcPr>
          <w:p w14:paraId="1E3FC39D" w14:textId="77777777" w:rsidR="000405D6" w:rsidRPr="005C325E" w:rsidRDefault="000405D6" w:rsidP="00325AC7">
            <w:pPr>
              <w:tabs>
                <w:tab w:val="num" w:pos="1260"/>
              </w:tabs>
              <w:jc w:val="center"/>
              <w:rPr>
                <w:iCs/>
              </w:rPr>
            </w:pPr>
            <w:r w:rsidRPr="005C325E">
              <w:t>0,2% от оборота за день (руб.)</w:t>
            </w:r>
          </w:p>
        </w:tc>
      </w:tr>
      <w:tr w:rsidR="005C325E" w:rsidRPr="005C325E" w14:paraId="2052BF17" w14:textId="77777777" w:rsidTr="00375021">
        <w:trPr>
          <w:trHeight w:val="215"/>
        </w:trPr>
        <w:tc>
          <w:tcPr>
            <w:tcW w:w="10490" w:type="dxa"/>
            <w:vAlign w:val="center"/>
          </w:tcPr>
          <w:p w14:paraId="275FC69A" w14:textId="77777777" w:rsidR="00325AC7" w:rsidRPr="005C325E" w:rsidRDefault="00325AC7" w:rsidP="00325AC7">
            <w:pPr>
              <w:tabs>
                <w:tab w:val="num" w:pos="1260"/>
              </w:tabs>
              <w:jc w:val="center"/>
            </w:pPr>
            <w:r w:rsidRPr="005C325E">
              <w:t>Минимальное вознаграждение за частично или полностью исполненное поручение 1,5 руб.</w:t>
            </w:r>
          </w:p>
        </w:tc>
      </w:tr>
    </w:tbl>
    <w:p w14:paraId="2179913A" w14:textId="77777777" w:rsidR="00E82A92" w:rsidRPr="005C325E" w:rsidRDefault="00E82A92" w:rsidP="00BA4DAB">
      <w:pPr>
        <w:tabs>
          <w:tab w:val="num" w:pos="1260"/>
        </w:tabs>
        <w:spacing w:before="120"/>
        <w:jc w:val="both"/>
        <w:rPr>
          <w:bCs/>
          <w:iCs/>
        </w:rPr>
      </w:pPr>
    </w:p>
    <w:p w14:paraId="4FC51691" w14:textId="77777777" w:rsidR="00BA4DAB" w:rsidRPr="005C325E" w:rsidRDefault="00BA4DAB" w:rsidP="00BA4DAB">
      <w:pPr>
        <w:tabs>
          <w:tab w:val="num" w:pos="1260"/>
        </w:tabs>
        <w:spacing w:before="120"/>
        <w:jc w:val="both"/>
        <w:rPr>
          <w:bCs/>
          <w:iCs/>
        </w:rPr>
      </w:pPr>
      <w:r w:rsidRPr="005C325E">
        <w:rPr>
          <w:bCs/>
          <w:iCs/>
        </w:rPr>
        <w:t xml:space="preserve">УСЛОВИЯ РАСЧЁТА И УДЕРЖАНИЯ ВОЗНАГРАЖДЕНИЯ (ТАРИФ </w:t>
      </w:r>
      <w:r w:rsidR="00534130" w:rsidRPr="005C325E">
        <w:rPr>
          <w:bCs/>
          <w:iCs/>
        </w:rPr>
        <w:t>УНИВЕРСАЛЬНЫЙ</w:t>
      </w:r>
      <w:r w:rsidRPr="005C325E">
        <w:rPr>
          <w:bCs/>
          <w:iCs/>
        </w:rPr>
        <w:t>)</w:t>
      </w:r>
    </w:p>
    <w:p w14:paraId="56FF90DE" w14:textId="77777777" w:rsidR="00BA4DAB" w:rsidRPr="005C325E" w:rsidRDefault="00BA4DAB" w:rsidP="00BA4DAB">
      <w:pPr>
        <w:spacing w:before="120" w:after="120"/>
        <w:jc w:val="both"/>
      </w:pPr>
      <w:r w:rsidRPr="005C325E">
        <w:t>Вознаграждение начисляется и списывается ежедневно или в иной разумный срок по усмотрению РЕГИОНА.</w:t>
      </w:r>
    </w:p>
    <w:p w14:paraId="25656679" w14:textId="77777777" w:rsidR="00BA4DAB" w:rsidRPr="005C325E" w:rsidRDefault="00BA4DAB" w:rsidP="00BA4DAB">
      <w:pPr>
        <w:spacing w:before="120" w:after="120"/>
        <w:jc w:val="both"/>
      </w:pPr>
      <w:r w:rsidRPr="005C325E">
        <w:t>Вознаграждение рассчитывается в рублях РФ. При расчете размера вознаграждения по сделкам с ценным бумагами с расчетами  в иностранной валюте применяется курс ЦБ РФ на дату сделки.</w:t>
      </w:r>
    </w:p>
    <w:p w14:paraId="3E18F0EC" w14:textId="77777777" w:rsidR="00BA4DAB" w:rsidRPr="005C325E" w:rsidRDefault="00BA4DAB" w:rsidP="00BA4DAB">
      <w:pPr>
        <w:spacing w:before="120" w:after="120"/>
        <w:jc w:val="both"/>
      </w:pPr>
      <w:r w:rsidRPr="005C325E">
        <w:t xml:space="preserve">Дополнительно к сумме вознаграждения с Клиента удерживаются расходы РЕГИОНА, связанные с заключением и исполнением сделок, включающие в себя сборы и комиссии, взимаемые третьими лицами в связи с исполнением сделок и иных операций, совершенных в интересах Клиента. </w:t>
      </w:r>
      <w:r w:rsidR="008B2E5B" w:rsidRPr="005C325E">
        <w:t>Подробнее порядок расчета в</w:t>
      </w:r>
      <w:r w:rsidRPr="005C325E">
        <w:t xml:space="preserve">ознаграждения и возмещения расходов описан в разделе IV. Регламента «Оплата расходов и вознаграждения РЕГИОНА». </w:t>
      </w:r>
    </w:p>
    <w:p w14:paraId="5DDF53B7" w14:textId="142785D0" w:rsidR="00BA4DAB" w:rsidRPr="005C325E" w:rsidRDefault="00BA4DAB" w:rsidP="00BA4DAB">
      <w:pPr>
        <w:tabs>
          <w:tab w:val="num" w:pos="1260"/>
        </w:tabs>
        <w:spacing w:before="120"/>
        <w:jc w:val="both"/>
        <w:rPr>
          <w:iCs/>
        </w:rPr>
      </w:pPr>
      <w:r w:rsidRPr="005C325E">
        <w:rPr>
          <w:bCs/>
          <w:iCs/>
        </w:rPr>
        <w:t xml:space="preserve">Вознаграждение по </w:t>
      </w:r>
      <w:r w:rsidRPr="005C325E">
        <w:rPr>
          <w:iCs/>
        </w:rPr>
        <w:t xml:space="preserve">внебиржевым/биржевым </w:t>
      </w:r>
      <w:r w:rsidRPr="005C325E">
        <w:rPr>
          <w:bCs/>
          <w:iCs/>
        </w:rPr>
        <w:t>сделкам РЕПО начисляется за каждый день с</w:t>
      </w:r>
      <w:r w:rsidR="002E07FF" w:rsidRPr="005C325E">
        <w:rPr>
          <w:bCs/>
          <w:iCs/>
        </w:rPr>
        <w:t>рока</w:t>
      </w:r>
      <w:r w:rsidRPr="005C325E">
        <w:rPr>
          <w:bCs/>
          <w:iCs/>
        </w:rPr>
        <w:t xml:space="preserve"> РЕПО. Для внутридневных сделок РЕПО срок РЕПО признается  равным одному дню. </w:t>
      </w:r>
    </w:p>
    <w:p w14:paraId="5B9B8658" w14:textId="77777777" w:rsidR="00BA4DAB" w:rsidRPr="005C325E" w:rsidRDefault="00BA4DAB" w:rsidP="00BA4DAB">
      <w:pPr>
        <w:tabs>
          <w:tab w:val="num" w:pos="1260"/>
        </w:tabs>
        <w:spacing w:before="120"/>
        <w:jc w:val="both"/>
        <w:rPr>
          <w:bCs/>
          <w:iCs/>
        </w:rPr>
      </w:pPr>
      <w:r w:rsidRPr="005C325E">
        <w:rPr>
          <w:bCs/>
          <w:iCs/>
        </w:rPr>
        <w:t xml:space="preserve">Под краткосрочными облигациями российских эмитентов понимаются облигации сроком обращения от одного дня до девяноста дней. В случае заключения сделок, направленных на приобретение краткосрочных облигаций российских эмитентов, заключаемых как в процессе размещения, так и в процессе обращения краткосрочных облигаций, вознаграждение рассчитывается за срок с даты сделки до даты погашения краткосрочных облигаций. </w:t>
      </w:r>
    </w:p>
    <w:p w14:paraId="787DC943" w14:textId="4B452613" w:rsidR="00BA4DAB" w:rsidRPr="005C325E" w:rsidRDefault="00BA4DAB" w:rsidP="00BA4DAB">
      <w:pPr>
        <w:spacing w:before="120"/>
        <w:jc w:val="both"/>
        <w:rPr>
          <w:iCs/>
        </w:rPr>
      </w:pPr>
      <w:r w:rsidRPr="005C325E">
        <w:rPr>
          <w:iCs/>
        </w:rPr>
        <w:t>Под оборотом Клиента за день с ценными бумагами (акциями, облигациями,</w:t>
      </w:r>
      <w:r w:rsidRPr="005C325E">
        <w:t xml:space="preserve"> </w:t>
      </w:r>
      <w:r w:rsidRPr="005C325E">
        <w:rPr>
          <w:iCs/>
        </w:rPr>
        <w:t>паями, депозитарными расписками и т.д.) понимается выраженная в рублях РФ общая сумма оборотов всех заключенных сделок с соответствующими ценными бумагами на соответствующем сегменте рынка (ПАО Московская Биржа,</w:t>
      </w:r>
      <w:r w:rsidR="00243C2C" w:rsidRPr="005C325E">
        <w:rPr>
          <w:iCs/>
        </w:rPr>
        <w:t xml:space="preserve"> ПАО</w:t>
      </w:r>
      <w:r w:rsidR="00243C2C" w:rsidRPr="005C325E">
        <w:t xml:space="preserve"> </w:t>
      </w:r>
      <w:r w:rsidR="00243C2C" w:rsidRPr="005C325E">
        <w:rPr>
          <w:iCs/>
        </w:rPr>
        <w:t>Санкт-Петербургская биржа,</w:t>
      </w:r>
      <w:r w:rsidRPr="005C325E">
        <w:rPr>
          <w:iCs/>
        </w:rPr>
        <w:t xml:space="preserve"> Внебиржевой рынок) за вычетом оборота по сделкам РЕПО. В обороте за день по облигациям учитывается накопленный купонный доход. </w:t>
      </w:r>
    </w:p>
    <w:p w14:paraId="0C9F13BE" w14:textId="77777777" w:rsidR="00137784" w:rsidRPr="005C325E" w:rsidRDefault="00BA4DAB" w:rsidP="005F4366">
      <w:pPr>
        <w:spacing w:before="120"/>
        <w:jc w:val="both"/>
        <w:rPr>
          <w:iCs/>
        </w:rPr>
      </w:pPr>
      <w:r w:rsidRPr="005C325E">
        <w:rPr>
          <w:iCs/>
        </w:rPr>
        <w:t>Под оборотом Клиента за день по сделкам купли-продажи иностранной валюты понимается общая сумма соответствующих сделок в базовой валюте, заключенных РЕГИОНОМ на основании Поручений Клиента за день, выраженная в  валюте Российской Федерации. В случае отличия базовой валюты от валюты Российской Федерации пересчет базовой валюты в валюту Российской Федерации осуществляется по курс ЦБ РФ на дату сделки.</w:t>
      </w:r>
    </w:p>
    <w:p w14:paraId="108C1F5D" w14:textId="77777777" w:rsidR="00C86A38" w:rsidRPr="005C325E" w:rsidRDefault="00C86A38" w:rsidP="00C86A38">
      <w:pPr>
        <w:spacing w:before="120"/>
      </w:pPr>
      <w:r w:rsidRPr="005C325E">
        <w:rPr>
          <w:bCs/>
          <w:iCs/>
        </w:rPr>
        <w:t>Под оборотом Клиента за день по сделкам</w:t>
      </w:r>
      <w:r w:rsidRPr="005C325E">
        <w:t xml:space="preserve"> </w:t>
      </w:r>
      <w:proofErr w:type="spellStart"/>
      <w:r w:rsidRPr="005C325E">
        <w:rPr>
          <w:bCs/>
          <w:iCs/>
        </w:rPr>
        <w:t>сделкам</w:t>
      </w:r>
      <w:proofErr w:type="spellEnd"/>
      <w:r w:rsidRPr="005C325E">
        <w:rPr>
          <w:bCs/>
          <w:iCs/>
        </w:rPr>
        <w:t xml:space="preserve"> купли-продажи с </w:t>
      </w:r>
      <w:r w:rsidRPr="005C325E">
        <w:t>драгоценными металлами</w:t>
      </w:r>
      <w:r w:rsidRPr="005C325E">
        <w:rPr>
          <w:bCs/>
          <w:iCs/>
        </w:rPr>
        <w:t xml:space="preserve"> понимается </w:t>
      </w:r>
      <w:r w:rsidRPr="005C325E">
        <w:rPr>
          <w:iCs/>
        </w:rPr>
        <w:t>выраженная в рублях РФ общая сумма оборотов всех заключенных сделок с соответствующими</w:t>
      </w:r>
      <w:r w:rsidRPr="005C325E">
        <w:t xml:space="preserve"> драгоценными металлами на организованных торгах </w:t>
      </w:r>
      <w:r w:rsidRPr="005C325E">
        <w:rPr>
          <w:iCs/>
        </w:rPr>
        <w:t>ПАО Московская Биржа</w:t>
      </w:r>
      <w:r w:rsidRPr="005C325E">
        <w:t>.</w:t>
      </w:r>
    </w:p>
    <w:p w14:paraId="77CB4E38" w14:textId="77777777" w:rsidR="00147E38" w:rsidRPr="005C325E" w:rsidRDefault="00147E38" w:rsidP="00D67F0F">
      <w:pPr>
        <w:spacing w:before="120"/>
        <w:rPr>
          <w:iCs/>
        </w:rPr>
      </w:pPr>
    </w:p>
    <w:sectPr w:rsidR="00147E38" w:rsidRPr="005C325E" w:rsidSect="00CA6CE6">
      <w:headerReference w:type="default" r:id="rId10"/>
      <w:footerReference w:type="even" r:id="rId11"/>
      <w:footerReference w:type="default" r:id="rId12"/>
      <w:pgSz w:w="11906" w:h="16838" w:code="9"/>
      <w:pgMar w:top="1134" w:right="794" w:bottom="1134" w:left="79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18A59" w14:textId="77777777" w:rsidR="00B43768" w:rsidRDefault="00B43768">
      <w:r>
        <w:separator/>
      </w:r>
    </w:p>
  </w:endnote>
  <w:endnote w:type="continuationSeparator" w:id="0">
    <w:p w14:paraId="4F4FB518" w14:textId="77777777" w:rsidR="00B43768" w:rsidRDefault="00B4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90C4C" w14:textId="77777777" w:rsidR="00557188" w:rsidRDefault="005571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59A7E9" w14:textId="77777777" w:rsidR="00557188" w:rsidRDefault="0055718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AC411" w14:textId="77777777" w:rsidR="00557188" w:rsidRPr="005901E9" w:rsidRDefault="00557188">
    <w:pPr>
      <w:pStyle w:val="a6"/>
      <w:framePr w:wrap="around" w:vAnchor="text" w:hAnchor="margin" w:xAlign="right" w:y="1"/>
      <w:rPr>
        <w:rStyle w:val="a7"/>
        <w:sz w:val="18"/>
        <w:szCs w:val="18"/>
      </w:rPr>
    </w:pPr>
    <w:r w:rsidRPr="005901E9">
      <w:rPr>
        <w:rStyle w:val="a7"/>
        <w:sz w:val="18"/>
        <w:szCs w:val="18"/>
      </w:rPr>
      <w:fldChar w:fldCharType="begin"/>
    </w:r>
    <w:r w:rsidRPr="005901E9">
      <w:rPr>
        <w:rStyle w:val="a7"/>
        <w:sz w:val="18"/>
        <w:szCs w:val="18"/>
      </w:rPr>
      <w:instrText xml:space="preserve">PAGE  </w:instrText>
    </w:r>
    <w:r w:rsidRPr="005901E9">
      <w:rPr>
        <w:rStyle w:val="a7"/>
        <w:sz w:val="18"/>
        <w:szCs w:val="18"/>
      </w:rPr>
      <w:fldChar w:fldCharType="separate"/>
    </w:r>
    <w:r w:rsidR="005C325E">
      <w:rPr>
        <w:rStyle w:val="a7"/>
        <w:noProof/>
        <w:sz w:val="18"/>
        <w:szCs w:val="18"/>
      </w:rPr>
      <w:t>1</w:t>
    </w:r>
    <w:r w:rsidRPr="005901E9">
      <w:rPr>
        <w:rStyle w:val="a7"/>
        <w:sz w:val="18"/>
        <w:szCs w:val="18"/>
      </w:rPr>
      <w:fldChar w:fldCharType="end"/>
    </w:r>
  </w:p>
  <w:p w14:paraId="4A2089FB" w14:textId="77777777" w:rsidR="00557188" w:rsidRDefault="005571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6DAB6" w14:textId="77777777" w:rsidR="00B43768" w:rsidRDefault="00B43768">
      <w:r>
        <w:separator/>
      </w:r>
    </w:p>
  </w:footnote>
  <w:footnote w:type="continuationSeparator" w:id="0">
    <w:p w14:paraId="0A86D79F" w14:textId="77777777" w:rsidR="00B43768" w:rsidRDefault="00B43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7577D" w14:textId="77777777" w:rsidR="00557188" w:rsidRDefault="00557188">
    <w:pPr>
      <w:pStyle w:val="a5"/>
      <w:tabs>
        <w:tab w:val="clear" w:pos="9355"/>
        <w:tab w:val="right" w:pos="9356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Приложение №1</w:t>
    </w:r>
    <w:r w:rsidR="00AC6A4C">
      <w:rPr>
        <w:b/>
        <w:sz w:val="18"/>
        <w:szCs w:val="18"/>
      </w:rPr>
      <w:t>а</w:t>
    </w:r>
    <w:r>
      <w:rPr>
        <w:b/>
        <w:sz w:val="18"/>
        <w:szCs w:val="18"/>
      </w:rPr>
      <w:t xml:space="preserve"> к Регламенту брокерского обслуживания ООО «БК РЕГИОН»</w:t>
    </w:r>
  </w:p>
  <w:p w14:paraId="250416C7" w14:textId="77777777" w:rsidR="00557188" w:rsidRDefault="00557188">
    <w:pPr>
      <w:pStyle w:val="a5"/>
      <w:tabs>
        <w:tab w:val="clear" w:pos="9355"/>
        <w:tab w:val="right" w:pos="9356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0E4BE3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B25A6"/>
    <w:multiLevelType w:val="hybridMultilevel"/>
    <w:tmpl w:val="7B0A9D58"/>
    <w:lvl w:ilvl="0" w:tplc="8154F898">
      <w:start w:val="4"/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3">
    <w:nsid w:val="0C9302CD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230E5"/>
    <w:multiLevelType w:val="hybridMultilevel"/>
    <w:tmpl w:val="1D92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801C6"/>
    <w:multiLevelType w:val="hybridMultilevel"/>
    <w:tmpl w:val="871C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D18CE"/>
    <w:multiLevelType w:val="singleLevel"/>
    <w:tmpl w:val="04190001"/>
    <w:lvl w:ilvl="0">
      <w:start w:val="2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781C78"/>
    <w:multiLevelType w:val="hybridMultilevel"/>
    <w:tmpl w:val="B58087E8"/>
    <w:lvl w:ilvl="0" w:tplc="57908E1E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D7462"/>
    <w:multiLevelType w:val="hybridMultilevel"/>
    <w:tmpl w:val="6D2CA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F75E9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7E22E3"/>
    <w:multiLevelType w:val="hybridMultilevel"/>
    <w:tmpl w:val="B6905C36"/>
    <w:lvl w:ilvl="0" w:tplc="0B5E8EE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2CFC758B"/>
    <w:multiLevelType w:val="hybridMultilevel"/>
    <w:tmpl w:val="BCD27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92081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582830"/>
    <w:multiLevelType w:val="hybridMultilevel"/>
    <w:tmpl w:val="672C77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54326"/>
    <w:multiLevelType w:val="hybridMultilevel"/>
    <w:tmpl w:val="D93212C4"/>
    <w:lvl w:ilvl="0" w:tplc="B8D07206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C0023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743A4D"/>
    <w:multiLevelType w:val="hybridMultilevel"/>
    <w:tmpl w:val="4A04CA0C"/>
    <w:lvl w:ilvl="0" w:tplc="837A4C80">
      <w:start w:val="1"/>
      <w:numFmt w:val="upperRoman"/>
      <w:lvlText w:val="%1."/>
      <w:lvlJc w:val="left"/>
      <w:pPr>
        <w:ind w:left="32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8">
    <w:nsid w:val="53E0125A"/>
    <w:multiLevelType w:val="hybridMultilevel"/>
    <w:tmpl w:val="546A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3B5450"/>
    <w:multiLevelType w:val="multilevel"/>
    <w:tmpl w:val="A5EE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DFF37B2"/>
    <w:multiLevelType w:val="hybridMultilevel"/>
    <w:tmpl w:val="1414B064"/>
    <w:lvl w:ilvl="0" w:tplc="02AE0F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E1E7262"/>
    <w:multiLevelType w:val="hybridMultilevel"/>
    <w:tmpl w:val="57F24AAA"/>
    <w:lvl w:ilvl="0" w:tplc="D82460A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64C70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C44E50"/>
    <w:multiLevelType w:val="hybridMultilevel"/>
    <w:tmpl w:val="3B2E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0C035DA"/>
    <w:multiLevelType w:val="hybridMultilevel"/>
    <w:tmpl w:val="9756423A"/>
    <w:lvl w:ilvl="0" w:tplc="344213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906C44"/>
    <w:multiLevelType w:val="hybridMultilevel"/>
    <w:tmpl w:val="98509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085C52"/>
    <w:multiLevelType w:val="hybridMultilevel"/>
    <w:tmpl w:val="F9B8C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193057"/>
    <w:multiLevelType w:val="hybridMultilevel"/>
    <w:tmpl w:val="871C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6"/>
  </w:num>
  <w:num w:numId="4">
    <w:abstractNumId w:val="16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22"/>
  </w:num>
  <w:num w:numId="8">
    <w:abstractNumId w:val="2"/>
  </w:num>
  <w:num w:numId="9">
    <w:abstractNumId w:val="21"/>
  </w:num>
  <w:num w:numId="10">
    <w:abstractNumId w:val="26"/>
  </w:num>
  <w:num w:numId="11">
    <w:abstractNumId w:val="18"/>
  </w:num>
  <w:num w:numId="12">
    <w:abstractNumId w:val="4"/>
  </w:num>
  <w:num w:numId="13">
    <w:abstractNumId w:val="23"/>
  </w:num>
  <w:num w:numId="14">
    <w:abstractNumId w:val="27"/>
  </w:num>
  <w:num w:numId="15">
    <w:abstractNumId w:val="12"/>
  </w:num>
  <w:num w:numId="16">
    <w:abstractNumId w:val="1"/>
  </w:num>
  <w:num w:numId="17">
    <w:abstractNumId w:val="25"/>
  </w:num>
  <w:num w:numId="18">
    <w:abstractNumId w:val="3"/>
  </w:num>
  <w:num w:numId="19">
    <w:abstractNumId w:val="15"/>
  </w:num>
  <w:num w:numId="20">
    <w:abstractNumId w:val="9"/>
  </w:num>
  <w:num w:numId="21">
    <w:abstractNumId w:val="14"/>
  </w:num>
  <w:num w:numId="22">
    <w:abstractNumId w:val="7"/>
  </w:num>
  <w:num w:numId="23">
    <w:abstractNumId w:val="20"/>
  </w:num>
  <w:num w:numId="24">
    <w:abstractNumId w:val="10"/>
  </w:num>
  <w:num w:numId="25">
    <w:abstractNumId w:val="17"/>
  </w:num>
  <w:num w:numId="26">
    <w:abstractNumId w:val="19"/>
  </w:num>
  <w:num w:numId="27">
    <w:abstractNumId w:val="28"/>
  </w:num>
  <w:num w:numId="28">
    <w:abstractNumId w:val="5"/>
  </w:num>
  <w:num w:numId="2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вчук">
    <w15:presenceInfo w15:providerId="None" w15:userId="Савчук"/>
  </w15:person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A6"/>
    <w:rsid w:val="0000349C"/>
    <w:rsid w:val="00010726"/>
    <w:rsid w:val="000110BE"/>
    <w:rsid w:val="000125EF"/>
    <w:rsid w:val="000129E9"/>
    <w:rsid w:val="000135D9"/>
    <w:rsid w:val="00013D07"/>
    <w:rsid w:val="000140F7"/>
    <w:rsid w:val="00015EB2"/>
    <w:rsid w:val="00016DED"/>
    <w:rsid w:val="0001798C"/>
    <w:rsid w:val="00017EF3"/>
    <w:rsid w:val="0002015E"/>
    <w:rsid w:val="00020174"/>
    <w:rsid w:val="00020C7F"/>
    <w:rsid w:val="00024A00"/>
    <w:rsid w:val="0003100B"/>
    <w:rsid w:val="0003302B"/>
    <w:rsid w:val="00035393"/>
    <w:rsid w:val="000353C7"/>
    <w:rsid w:val="00037282"/>
    <w:rsid w:val="000373E2"/>
    <w:rsid w:val="00037A06"/>
    <w:rsid w:val="000405D6"/>
    <w:rsid w:val="00040FA6"/>
    <w:rsid w:val="000414A5"/>
    <w:rsid w:val="0004262B"/>
    <w:rsid w:val="000462B8"/>
    <w:rsid w:val="000469DA"/>
    <w:rsid w:val="0005276B"/>
    <w:rsid w:val="00057313"/>
    <w:rsid w:val="00057515"/>
    <w:rsid w:val="00061D58"/>
    <w:rsid w:val="00061DA6"/>
    <w:rsid w:val="000622BA"/>
    <w:rsid w:val="000629C8"/>
    <w:rsid w:val="00062EAF"/>
    <w:rsid w:val="00066496"/>
    <w:rsid w:val="000706B2"/>
    <w:rsid w:val="00077FC0"/>
    <w:rsid w:val="00083F54"/>
    <w:rsid w:val="00085422"/>
    <w:rsid w:val="000917A2"/>
    <w:rsid w:val="00091F93"/>
    <w:rsid w:val="000939DA"/>
    <w:rsid w:val="00093BE8"/>
    <w:rsid w:val="00093E3D"/>
    <w:rsid w:val="00097604"/>
    <w:rsid w:val="000A06A0"/>
    <w:rsid w:val="000A27E6"/>
    <w:rsid w:val="000A3E2D"/>
    <w:rsid w:val="000A4154"/>
    <w:rsid w:val="000A4324"/>
    <w:rsid w:val="000A5B8A"/>
    <w:rsid w:val="000B123A"/>
    <w:rsid w:val="000B1E19"/>
    <w:rsid w:val="000C2BFC"/>
    <w:rsid w:val="000C4BF2"/>
    <w:rsid w:val="000C568F"/>
    <w:rsid w:val="000D2B2C"/>
    <w:rsid w:val="000D38DA"/>
    <w:rsid w:val="000D49CC"/>
    <w:rsid w:val="000D58B3"/>
    <w:rsid w:val="000E3098"/>
    <w:rsid w:val="000E495B"/>
    <w:rsid w:val="000E7009"/>
    <w:rsid w:val="000F07AE"/>
    <w:rsid w:val="000F16CA"/>
    <w:rsid w:val="000F25E2"/>
    <w:rsid w:val="000F2D84"/>
    <w:rsid w:val="000F3E26"/>
    <w:rsid w:val="000F5251"/>
    <w:rsid w:val="00103F53"/>
    <w:rsid w:val="00103FA4"/>
    <w:rsid w:val="00105AA6"/>
    <w:rsid w:val="0010629D"/>
    <w:rsid w:val="00106CDA"/>
    <w:rsid w:val="00110653"/>
    <w:rsid w:val="00110D19"/>
    <w:rsid w:val="00112C2C"/>
    <w:rsid w:val="00113F2D"/>
    <w:rsid w:val="001149F3"/>
    <w:rsid w:val="00120A57"/>
    <w:rsid w:val="00122745"/>
    <w:rsid w:val="001275A2"/>
    <w:rsid w:val="00131F4C"/>
    <w:rsid w:val="00132758"/>
    <w:rsid w:val="00134331"/>
    <w:rsid w:val="00135914"/>
    <w:rsid w:val="00135997"/>
    <w:rsid w:val="0013614F"/>
    <w:rsid w:val="0013727C"/>
    <w:rsid w:val="00137784"/>
    <w:rsid w:val="00140D7D"/>
    <w:rsid w:val="00142035"/>
    <w:rsid w:val="00142707"/>
    <w:rsid w:val="00142B52"/>
    <w:rsid w:val="00142E13"/>
    <w:rsid w:val="001466EC"/>
    <w:rsid w:val="001474B2"/>
    <w:rsid w:val="00147E1B"/>
    <w:rsid w:val="00147E38"/>
    <w:rsid w:val="00147F13"/>
    <w:rsid w:val="00151DB4"/>
    <w:rsid w:val="0015219E"/>
    <w:rsid w:val="0015416F"/>
    <w:rsid w:val="0015479E"/>
    <w:rsid w:val="00155024"/>
    <w:rsid w:val="001569F7"/>
    <w:rsid w:val="001576AA"/>
    <w:rsid w:val="001626CC"/>
    <w:rsid w:val="001718B5"/>
    <w:rsid w:val="00171CD3"/>
    <w:rsid w:val="00180C9A"/>
    <w:rsid w:val="00184094"/>
    <w:rsid w:val="00184878"/>
    <w:rsid w:val="00184ADB"/>
    <w:rsid w:val="00187761"/>
    <w:rsid w:val="001878DA"/>
    <w:rsid w:val="00194BFB"/>
    <w:rsid w:val="00196CC6"/>
    <w:rsid w:val="001A09BD"/>
    <w:rsid w:val="001A0ABA"/>
    <w:rsid w:val="001A27E9"/>
    <w:rsid w:val="001A4D1A"/>
    <w:rsid w:val="001A578A"/>
    <w:rsid w:val="001A67B3"/>
    <w:rsid w:val="001A7B64"/>
    <w:rsid w:val="001B3E5B"/>
    <w:rsid w:val="001B5349"/>
    <w:rsid w:val="001C088C"/>
    <w:rsid w:val="001C5E52"/>
    <w:rsid w:val="001D4A41"/>
    <w:rsid w:val="001D56D0"/>
    <w:rsid w:val="001D57EC"/>
    <w:rsid w:val="001E194A"/>
    <w:rsid w:val="001E19ED"/>
    <w:rsid w:val="001E2907"/>
    <w:rsid w:val="001E3CC8"/>
    <w:rsid w:val="001E4BDA"/>
    <w:rsid w:val="001E54FD"/>
    <w:rsid w:val="001E5D37"/>
    <w:rsid w:val="001E7750"/>
    <w:rsid w:val="001F0E32"/>
    <w:rsid w:val="001F1402"/>
    <w:rsid w:val="001F34BE"/>
    <w:rsid w:val="001F7908"/>
    <w:rsid w:val="002001BC"/>
    <w:rsid w:val="00202A1A"/>
    <w:rsid w:val="002041D1"/>
    <w:rsid w:val="002043AC"/>
    <w:rsid w:val="00204744"/>
    <w:rsid w:val="00204EBE"/>
    <w:rsid w:val="0021034A"/>
    <w:rsid w:val="002112CF"/>
    <w:rsid w:val="00212FB7"/>
    <w:rsid w:val="00215DAF"/>
    <w:rsid w:val="002161C9"/>
    <w:rsid w:val="00220DCB"/>
    <w:rsid w:val="00222200"/>
    <w:rsid w:val="00223794"/>
    <w:rsid w:val="00223A94"/>
    <w:rsid w:val="00224072"/>
    <w:rsid w:val="002307CA"/>
    <w:rsid w:val="0023435D"/>
    <w:rsid w:val="002364EA"/>
    <w:rsid w:val="00240AF7"/>
    <w:rsid w:val="00242900"/>
    <w:rsid w:val="00243B83"/>
    <w:rsid w:val="00243C2C"/>
    <w:rsid w:val="002442FD"/>
    <w:rsid w:val="00244A7B"/>
    <w:rsid w:val="0024579F"/>
    <w:rsid w:val="002469AA"/>
    <w:rsid w:val="00254CC4"/>
    <w:rsid w:val="002632B1"/>
    <w:rsid w:val="0026686F"/>
    <w:rsid w:val="002679EB"/>
    <w:rsid w:val="00272053"/>
    <w:rsid w:val="00275992"/>
    <w:rsid w:val="00276A9D"/>
    <w:rsid w:val="0027707C"/>
    <w:rsid w:val="002827B8"/>
    <w:rsid w:val="00285298"/>
    <w:rsid w:val="00290A62"/>
    <w:rsid w:val="00292262"/>
    <w:rsid w:val="0029255F"/>
    <w:rsid w:val="00293662"/>
    <w:rsid w:val="002947A5"/>
    <w:rsid w:val="00294CE2"/>
    <w:rsid w:val="00295AD1"/>
    <w:rsid w:val="002A0D7E"/>
    <w:rsid w:val="002A1056"/>
    <w:rsid w:val="002A1393"/>
    <w:rsid w:val="002A1934"/>
    <w:rsid w:val="002A1AE7"/>
    <w:rsid w:val="002A7045"/>
    <w:rsid w:val="002B0438"/>
    <w:rsid w:val="002B2017"/>
    <w:rsid w:val="002B29B7"/>
    <w:rsid w:val="002B2B1C"/>
    <w:rsid w:val="002B5DAC"/>
    <w:rsid w:val="002B64EF"/>
    <w:rsid w:val="002C1189"/>
    <w:rsid w:val="002C1561"/>
    <w:rsid w:val="002C2532"/>
    <w:rsid w:val="002C36F8"/>
    <w:rsid w:val="002C4083"/>
    <w:rsid w:val="002C4490"/>
    <w:rsid w:val="002C5E96"/>
    <w:rsid w:val="002D070F"/>
    <w:rsid w:val="002D6038"/>
    <w:rsid w:val="002D67CA"/>
    <w:rsid w:val="002D78BC"/>
    <w:rsid w:val="002E07FF"/>
    <w:rsid w:val="002E39B5"/>
    <w:rsid w:val="002E3FE3"/>
    <w:rsid w:val="002E4680"/>
    <w:rsid w:val="002E4F87"/>
    <w:rsid w:val="002F17BF"/>
    <w:rsid w:val="002F5817"/>
    <w:rsid w:val="002F599D"/>
    <w:rsid w:val="002F661B"/>
    <w:rsid w:val="003013AF"/>
    <w:rsid w:val="00301B63"/>
    <w:rsid w:val="00303383"/>
    <w:rsid w:val="0030383F"/>
    <w:rsid w:val="003062D3"/>
    <w:rsid w:val="00306C59"/>
    <w:rsid w:val="003111B8"/>
    <w:rsid w:val="0031222D"/>
    <w:rsid w:val="003122DA"/>
    <w:rsid w:val="00312BCA"/>
    <w:rsid w:val="00314959"/>
    <w:rsid w:val="00314FC3"/>
    <w:rsid w:val="0031531D"/>
    <w:rsid w:val="00315C0D"/>
    <w:rsid w:val="0031694E"/>
    <w:rsid w:val="00316D0B"/>
    <w:rsid w:val="00320079"/>
    <w:rsid w:val="0032240B"/>
    <w:rsid w:val="00323BA6"/>
    <w:rsid w:val="00324A22"/>
    <w:rsid w:val="00325AC7"/>
    <w:rsid w:val="0032638F"/>
    <w:rsid w:val="003329F6"/>
    <w:rsid w:val="00333749"/>
    <w:rsid w:val="00333AC3"/>
    <w:rsid w:val="003347EE"/>
    <w:rsid w:val="00335D84"/>
    <w:rsid w:val="0033737A"/>
    <w:rsid w:val="00340BB3"/>
    <w:rsid w:val="003427D2"/>
    <w:rsid w:val="003429F7"/>
    <w:rsid w:val="00343FC0"/>
    <w:rsid w:val="00343FF9"/>
    <w:rsid w:val="003444BC"/>
    <w:rsid w:val="00344920"/>
    <w:rsid w:val="00344BA9"/>
    <w:rsid w:val="0034594E"/>
    <w:rsid w:val="003466B4"/>
    <w:rsid w:val="003507F7"/>
    <w:rsid w:val="00352914"/>
    <w:rsid w:val="00352C7C"/>
    <w:rsid w:val="003535CB"/>
    <w:rsid w:val="0035395E"/>
    <w:rsid w:val="00354571"/>
    <w:rsid w:val="0036142E"/>
    <w:rsid w:val="0036576E"/>
    <w:rsid w:val="00366B5E"/>
    <w:rsid w:val="00367AC1"/>
    <w:rsid w:val="00370EA1"/>
    <w:rsid w:val="0037246B"/>
    <w:rsid w:val="00374F6E"/>
    <w:rsid w:val="00375021"/>
    <w:rsid w:val="0037708E"/>
    <w:rsid w:val="00381725"/>
    <w:rsid w:val="003833DE"/>
    <w:rsid w:val="0038479A"/>
    <w:rsid w:val="003855ED"/>
    <w:rsid w:val="00385A78"/>
    <w:rsid w:val="00390235"/>
    <w:rsid w:val="00391133"/>
    <w:rsid w:val="003923F5"/>
    <w:rsid w:val="00392F70"/>
    <w:rsid w:val="003A446F"/>
    <w:rsid w:val="003A7F26"/>
    <w:rsid w:val="003B07A5"/>
    <w:rsid w:val="003B155D"/>
    <w:rsid w:val="003B5864"/>
    <w:rsid w:val="003B5DC5"/>
    <w:rsid w:val="003B6D34"/>
    <w:rsid w:val="003C01B9"/>
    <w:rsid w:val="003C1387"/>
    <w:rsid w:val="003C15F5"/>
    <w:rsid w:val="003C1809"/>
    <w:rsid w:val="003C1C6D"/>
    <w:rsid w:val="003C24C0"/>
    <w:rsid w:val="003C27C5"/>
    <w:rsid w:val="003C2DA6"/>
    <w:rsid w:val="003C3704"/>
    <w:rsid w:val="003C3935"/>
    <w:rsid w:val="003C578E"/>
    <w:rsid w:val="003C7125"/>
    <w:rsid w:val="003D4310"/>
    <w:rsid w:val="003D436B"/>
    <w:rsid w:val="003D560A"/>
    <w:rsid w:val="003E075A"/>
    <w:rsid w:val="003E09B2"/>
    <w:rsid w:val="003E0D69"/>
    <w:rsid w:val="003E2435"/>
    <w:rsid w:val="003E6821"/>
    <w:rsid w:val="003E7D0C"/>
    <w:rsid w:val="003F19E7"/>
    <w:rsid w:val="003F412E"/>
    <w:rsid w:val="003F5CAB"/>
    <w:rsid w:val="003F606A"/>
    <w:rsid w:val="003F7249"/>
    <w:rsid w:val="003F76C4"/>
    <w:rsid w:val="00400908"/>
    <w:rsid w:val="004014EA"/>
    <w:rsid w:val="004029DE"/>
    <w:rsid w:val="00403229"/>
    <w:rsid w:val="004070C5"/>
    <w:rsid w:val="00407F6B"/>
    <w:rsid w:val="004104B9"/>
    <w:rsid w:val="00410DBF"/>
    <w:rsid w:val="00411441"/>
    <w:rsid w:val="004134E4"/>
    <w:rsid w:val="0041355F"/>
    <w:rsid w:val="00416550"/>
    <w:rsid w:val="004176C6"/>
    <w:rsid w:val="00421945"/>
    <w:rsid w:val="00421D6E"/>
    <w:rsid w:val="0042258A"/>
    <w:rsid w:val="004226AF"/>
    <w:rsid w:val="0042349B"/>
    <w:rsid w:val="004246E5"/>
    <w:rsid w:val="00426EBF"/>
    <w:rsid w:val="0043056E"/>
    <w:rsid w:val="00442B10"/>
    <w:rsid w:val="00444041"/>
    <w:rsid w:val="00444687"/>
    <w:rsid w:val="00446266"/>
    <w:rsid w:val="00446A32"/>
    <w:rsid w:val="00451E38"/>
    <w:rsid w:val="0045398F"/>
    <w:rsid w:val="00455A86"/>
    <w:rsid w:val="00455E71"/>
    <w:rsid w:val="00455E99"/>
    <w:rsid w:val="00455F18"/>
    <w:rsid w:val="00457285"/>
    <w:rsid w:val="0046306D"/>
    <w:rsid w:val="00465A90"/>
    <w:rsid w:val="00467052"/>
    <w:rsid w:val="004745C6"/>
    <w:rsid w:val="00474F71"/>
    <w:rsid w:val="00475A23"/>
    <w:rsid w:val="00475D3F"/>
    <w:rsid w:val="00482DD8"/>
    <w:rsid w:val="00483EDE"/>
    <w:rsid w:val="00484E53"/>
    <w:rsid w:val="00485D60"/>
    <w:rsid w:val="00486688"/>
    <w:rsid w:val="00487C51"/>
    <w:rsid w:val="00492D10"/>
    <w:rsid w:val="0049342A"/>
    <w:rsid w:val="00497D7E"/>
    <w:rsid w:val="004A1809"/>
    <w:rsid w:val="004A200C"/>
    <w:rsid w:val="004A234F"/>
    <w:rsid w:val="004A3A99"/>
    <w:rsid w:val="004A5479"/>
    <w:rsid w:val="004A5490"/>
    <w:rsid w:val="004A6C9E"/>
    <w:rsid w:val="004A74E3"/>
    <w:rsid w:val="004B47CE"/>
    <w:rsid w:val="004B5FE2"/>
    <w:rsid w:val="004C1E4D"/>
    <w:rsid w:val="004C5EFD"/>
    <w:rsid w:val="004C6FB4"/>
    <w:rsid w:val="004C74C2"/>
    <w:rsid w:val="004D06F1"/>
    <w:rsid w:val="004D1EE3"/>
    <w:rsid w:val="004D30B9"/>
    <w:rsid w:val="004D3BDC"/>
    <w:rsid w:val="004D4FC0"/>
    <w:rsid w:val="004D73BC"/>
    <w:rsid w:val="004E129C"/>
    <w:rsid w:val="004E7CA4"/>
    <w:rsid w:val="004F2781"/>
    <w:rsid w:val="004F6522"/>
    <w:rsid w:val="004F6BF2"/>
    <w:rsid w:val="004F7721"/>
    <w:rsid w:val="005049DF"/>
    <w:rsid w:val="00512AD6"/>
    <w:rsid w:val="00513CA8"/>
    <w:rsid w:val="00514C1B"/>
    <w:rsid w:val="005165C5"/>
    <w:rsid w:val="00522476"/>
    <w:rsid w:val="00523565"/>
    <w:rsid w:val="00523ABB"/>
    <w:rsid w:val="00534130"/>
    <w:rsid w:val="00537060"/>
    <w:rsid w:val="0054013A"/>
    <w:rsid w:val="00541545"/>
    <w:rsid w:val="00545822"/>
    <w:rsid w:val="00545DA7"/>
    <w:rsid w:val="00550DCD"/>
    <w:rsid w:val="0055285F"/>
    <w:rsid w:val="00553308"/>
    <w:rsid w:val="00557188"/>
    <w:rsid w:val="0056039B"/>
    <w:rsid w:val="00561186"/>
    <w:rsid w:val="005617C7"/>
    <w:rsid w:val="00561AC9"/>
    <w:rsid w:val="00561BA9"/>
    <w:rsid w:val="00567A07"/>
    <w:rsid w:val="00571090"/>
    <w:rsid w:val="00572AF9"/>
    <w:rsid w:val="0057695F"/>
    <w:rsid w:val="005824D6"/>
    <w:rsid w:val="00583550"/>
    <w:rsid w:val="00584DE8"/>
    <w:rsid w:val="00585DC3"/>
    <w:rsid w:val="00585FD6"/>
    <w:rsid w:val="00586D0D"/>
    <w:rsid w:val="005878BA"/>
    <w:rsid w:val="005901E9"/>
    <w:rsid w:val="00590C90"/>
    <w:rsid w:val="0059193B"/>
    <w:rsid w:val="00591F26"/>
    <w:rsid w:val="00592658"/>
    <w:rsid w:val="005936A8"/>
    <w:rsid w:val="00595564"/>
    <w:rsid w:val="0059688F"/>
    <w:rsid w:val="00596CE7"/>
    <w:rsid w:val="005A0E50"/>
    <w:rsid w:val="005A35A2"/>
    <w:rsid w:val="005A782F"/>
    <w:rsid w:val="005B11E1"/>
    <w:rsid w:val="005B24F1"/>
    <w:rsid w:val="005C325E"/>
    <w:rsid w:val="005C4302"/>
    <w:rsid w:val="005C5331"/>
    <w:rsid w:val="005C7B45"/>
    <w:rsid w:val="005D0AB7"/>
    <w:rsid w:val="005D1F11"/>
    <w:rsid w:val="005D3D1A"/>
    <w:rsid w:val="005D44BD"/>
    <w:rsid w:val="005E1D44"/>
    <w:rsid w:val="005E23E7"/>
    <w:rsid w:val="005E2E0E"/>
    <w:rsid w:val="005E455A"/>
    <w:rsid w:val="005E67BF"/>
    <w:rsid w:val="005F2CCF"/>
    <w:rsid w:val="005F3C67"/>
    <w:rsid w:val="005F4323"/>
    <w:rsid w:val="005F4366"/>
    <w:rsid w:val="005F5C3B"/>
    <w:rsid w:val="00601938"/>
    <w:rsid w:val="00602D74"/>
    <w:rsid w:val="00605E5C"/>
    <w:rsid w:val="00611FDD"/>
    <w:rsid w:val="0061331E"/>
    <w:rsid w:val="00613F98"/>
    <w:rsid w:val="006146BB"/>
    <w:rsid w:val="00614BD2"/>
    <w:rsid w:val="00621BCA"/>
    <w:rsid w:val="00623C49"/>
    <w:rsid w:val="00623F07"/>
    <w:rsid w:val="006350E6"/>
    <w:rsid w:val="006351E4"/>
    <w:rsid w:val="006436B7"/>
    <w:rsid w:val="006456C1"/>
    <w:rsid w:val="00650236"/>
    <w:rsid w:val="00650732"/>
    <w:rsid w:val="00650AA9"/>
    <w:rsid w:val="00651A61"/>
    <w:rsid w:val="00652E07"/>
    <w:rsid w:val="0065406D"/>
    <w:rsid w:val="00654A5E"/>
    <w:rsid w:val="006566B9"/>
    <w:rsid w:val="00657AF0"/>
    <w:rsid w:val="006601DB"/>
    <w:rsid w:val="00660D5C"/>
    <w:rsid w:val="006622EA"/>
    <w:rsid w:val="00662B15"/>
    <w:rsid w:val="006633AF"/>
    <w:rsid w:val="00663F85"/>
    <w:rsid w:val="00664AF8"/>
    <w:rsid w:val="00666E5A"/>
    <w:rsid w:val="00670B51"/>
    <w:rsid w:val="006711D9"/>
    <w:rsid w:val="006731C9"/>
    <w:rsid w:val="006746D6"/>
    <w:rsid w:val="00680411"/>
    <w:rsid w:val="00680C90"/>
    <w:rsid w:val="00680E1E"/>
    <w:rsid w:val="00683632"/>
    <w:rsid w:val="0068428F"/>
    <w:rsid w:val="00692F2A"/>
    <w:rsid w:val="00694704"/>
    <w:rsid w:val="00695F33"/>
    <w:rsid w:val="00697BED"/>
    <w:rsid w:val="006A27DF"/>
    <w:rsid w:val="006B2CC1"/>
    <w:rsid w:val="006C1097"/>
    <w:rsid w:val="006C68F6"/>
    <w:rsid w:val="006C7851"/>
    <w:rsid w:val="006D0C2C"/>
    <w:rsid w:val="006D3161"/>
    <w:rsid w:val="006D665F"/>
    <w:rsid w:val="006D6E31"/>
    <w:rsid w:val="006D6EC5"/>
    <w:rsid w:val="006D7529"/>
    <w:rsid w:val="006E3AB8"/>
    <w:rsid w:val="006E481D"/>
    <w:rsid w:val="006E690B"/>
    <w:rsid w:val="006E734E"/>
    <w:rsid w:val="006F53BD"/>
    <w:rsid w:val="006F7C5D"/>
    <w:rsid w:val="006F7E65"/>
    <w:rsid w:val="00700650"/>
    <w:rsid w:val="00702664"/>
    <w:rsid w:val="00702F32"/>
    <w:rsid w:val="00703A3B"/>
    <w:rsid w:val="00704091"/>
    <w:rsid w:val="00710211"/>
    <w:rsid w:val="00710FF8"/>
    <w:rsid w:val="007113BF"/>
    <w:rsid w:val="00717F50"/>
    <w:rsid w:val="0072282F"/>
    <w:rsid w:val="007334D4"/>
    <w:rsid w:val="007349FC"/>
    <w:rsid w:val="00734CFB"/>
    <w:rsid w:val="00736006"/>
    <w:rsid w:val="0073677B"/>
    <w:rsid w:val="00736D71"/>
    <w:rsid w:val="00742691"/>
    <w:rsid w:val="007502E8"/>
    <w:rsid w:val="007507CD"/>
    <w:rsid w:val="0075098B"/>
    <w:rsid w:val="00751CF0"/>
    <w:rsid w:val="00755C32"/>
    <w:rsid w:val="00760927"/>
    <w:rsid w:val="0076201A"/>
    <w:rsid w:val="0076226B"/>
    <w:rsid w:val="00762D65"/>
    <w:rsid w:val="0076610E"/>
    <w:rsid w:val="00767A8D"/>
    <w:rsid w:val="00770035"/>
    <w:rsid w:val="0077128D"/>
    <w:rsid w:val="00772F15"/>
    <w:rsid w:val="00777118"/>
    <w:rsid w:val="007824A5"/>
    <w:rsid w:val="00784F36"/>
    <w:rsid w:val="007865CE"/>
    <w:rsid w:val="00793781"/>
    <w:rsid w:val="007938B4"/>
    <w:rsid w:val="00796042"/>
    <w:rsid w:val="00796157"/>
    <w:rsid w:val="007A2343"/>
    <w:rsid w:val="007A2862"/>
    <w:rsid w:val="007A4B7D"/>
    <w:rsid w:val="007A66D7"/>
    <w:rsid w:val="007A787C"/>
    <w:rsid w:val="007B2D07"/>
    <w:rsid w:val="007B58AA"/>
    <w:rsid w:val="007B79B8"/>
    <w:rsid w:val="007C6281"/>
    <w:rsid w:val="007C7A1A"/>
    <w:rsid w:val="007C7FE5"/>
    <w:rsid w:val="007D1344"/>
    <w:rsid w:val="007D2BBF"/>
    <w:rsid w:val="007D32E5"/>
    <w:rsid w:val="007D53E7"/>
    <w:rsid w:val="007D6419"/>
    <w:rsid w:val="007E1951"/>
    <w:rsid w:val="007E24EB"/>
    <w:rsid w:val="007E2A0D"/>
    <w:rsid w:val="007E5F23"/>
    <w:rsid w:val="007E69F6"/>
    <w:rsid w:val="007E7B7E"/>
    <w:rsid w:val="007F2F06"/>
    <w:rsid w:val="007F3A0B"/>
    <w:rsid w:val="007F3A87"/>
    <w:rsid w:val="007F6C66"/>
    <w:rsid w:val="007F7D3D"/>
    <w:rsid w:val="0080070D"/>
    <w:rsid w:val="008016BA"/>
    <w:rsid w:val="00801E35"/>
    <w:rsid w:val="008103DB"/>
    <w:rsid w:val="00810828"/>
    <w:rsid w:val="00810BA8"/>
    <w:rsid w:val="00811667"/>
    <w:rsid w:val="0081248A"/>
    <w:rsid w:val="00813C5D"/>
    <w:rsid w:val="0081508B"/>
    <w:rsid w:val="00816E40"/>
    <w:rsid w:val="008175C1"/>
    <w:rsid w:val="00817AB7"/>
    <w:rsid w:val="00821F0B"/>
    <w:rsid w:val="0082381E"/>
    <w:rsid w:val="0082425D"/>
    <w:rsid w:val="00825F82"/>
    <w:rsid w:val="00826C1D"/>
    <w:rsid w:val="00831C2E"/>
    <w:rsid w:val="00833D75"/>
    <w:rsid w:val="0083645F"/>
    <w:rsid w:val="00837951"/>
    <w:rsid w:val="00837D27"/>
    <w:rsid w:val="00841B99"/>
    <w:rsid w:val="00845F6B"/>
    <w:rsid w:val="00846255"/>
    <w:rsid w:val="0085204E"/>
    <w:rsid w:val="008546F8"/>
    <w:rsid w:val="00860221"/>
    <w:rsid w:val="008702EB"/>
    <w:rsid w:val="00870984"/>
    <w:rsid w:val="0087388C"/>
    <w:rsid w:val="00873890"/>
    <w:rsid w:val="0088503A"/>
    <w:rsid w:val="00885B4B"/>
    <w:rsid w:val="0088730D"/>
    <w:rsid w:val="0089129A"/>
    <w:rsid w:val="0089181F"/>
    <w:rsid w:val="008972BB"/>
    <w:rsid w:val="008A1278"/>
    <w:rsid w:val="008A4794"/>
    <w:rsid w:val="008A4F53"/>
    <w:rsid w:val="008A607E"/>
    <w:rsid w:val="008B014A"/>
    <w:rsid w:val="008B25A9"/>
    <w:rsid w:val="008B2E5B"/>
    <w:rsid w:val="008B3B73"/>
    <w:rsid w:val="008B401E"/>
    <w:rsid w:val="008B4BEB"/>
    <w:rsid w:val="008B572C"/>
    <w:rsid w:val="008B5985"/>
    <w:rsid w:val="008B6AB7"/>
    <w:rsid w:val="008C21DA"/>
    <w:rsid w:val="008C2EC9"/>
    <w:rsid w:val="008C45A7"/>
    <w:rsid w:val="008C6795"/>
    <w:rsid w:val="008C6912"/>
    <w:rsid w:val="008D55C5"/>
    <w:rsid w:val="008D7458"/>
    <w:rsid w:val="008D76CF"/>
    <w:rsid w:val="008E27C8"/>
    <w:rsid w:val="008E3C9E"/>
    <w:rsid w:val="008E3D7F"/>
    <w:rsid w:val="008E41F4"/>
    <w:rsid w:val="008E51E1"/>
    <w:rsid w:val="008E5B96"/>
    <w:rsid w:val="008F1C24"/>
    <w:rsid w:val="008F4C0A"/>
    <w:rsid w:val="008F6432"/>
    <w:rsid w:val="00900AFD"/>
    <w:rsid w:val="00901E88"/>
    <w:rsid w:val="00904635"/>
    <w:rsid w:val="009073B6"/>
    <w:rsid w:val="009078C2"/>
    <w:rsid w:val="0091000F"/>
    <w:rsid w:val="009110D9"/>
    <w:rsid w:val="009112CE"/>
    <w:rsid w:val="009116FF"/>
    <w:rsid w:val="00913C61"/>
    <w:rsid w:val="00913F24"/>
    <w:rsid w:val="0091628A"/>
    <w:rsid w:val="0091663F"/>
    <w:rsid w:val="0092045D"/>
    <w:rsid w:val="009210F7"/>
    <w:rsid w:val="00922197"/>
    <w:rsid w:val="00923C34"/>
    <w:rsid w:val="00923DF5"/>
    <w:rsid w:val="009267DA"/>
    <w:rsid w:val="00927B32"/>
    <w:rsid w:val="00930D81"/>
    <w:rsid w:val="00933777"/>
    <w:rsid w:val="00934FB4"/>
    <w:rsid w:val="0093564E"/>
    <w:rsid w:val="00935BF6"/>
    <w:rsid w:val="00935C2B"/>
    <w:rsid w:val="0093652C"/>
    <w:rsid w:val="00940B17"/>
    <w:rsid w:val="00941820"/>
    <w:rsid w:val="009443A6"/>
    <w:rsid w:val="0094613A"/>
    <w:rsid w:val="00947420"/>
    <w:rsid w:val="00950D8B"/>
    <w:rsid w:val="00961306"/>
    <w:rsid w:val="00964B7A"/>
    <w:rsid w:val="00971801"/>
    <w:rsid w:val="00972299"/>
    <w:rsid w:val="00973DD4"/>
    <w:rsid w:val="009860C5"/>
    <w:rsid w:val="00992A5C"/>
    <w:rsid w:val="00993BFA"/>
    <w:rsid w:val="009A0097"/>
    <w:rsid w:val="009A0861"/>
    <w:rsid w:val="009A1349"/>
    <w:rsid w:val="009A1D4D"/>
    <w:rsid w:val="009A3FD2"/>
    <w:rsid w:val="009A5C1D"/>
    <w:rsid w:val="009A5C3A"/>
    <w:rsid w:val="009B160D"/>
    <w:rsid w:val="009B1709"/>
    <w:rsid w:val="009B53FF"/>
    <w:rsid w:val="009B5965"/>
    <w:rsid w:val="009B632B"/>
    <w:rsid w:val="009B70B7"/>
    <w:rsid w:val="009C3E07"/>
    <w:rsid w:val="009C4C98"/>
    <w:rsid w:val="009C5248"/>
    <w:rsid w:val="009C5E42"/>
    <w:rsid w:val="009C6D2F"/>
    <w:rsid w:val="009C7FF0"/>
    <w:rsid w:val="009D06DA"/>
    <w:rsid w:val="009D2627"/>
    <w:rsid w:val="009D640A"/>
    <w:rsid w:val="009E1022"/>
    <w:rsid w:val="009E1475"/>
    <w:rsid w:val="009E25BB"/>
    <w:rsid w:val="009E3738"/>
    <w:rsid w:val="009E43B6"/>
    <w:rsid w:val="009E531E"/>
    <w:rsid w:val="009E7D49"/>
    <w:rsid w:val="009F0DDB"/>
    <w:rsid w:val="009F1A7B"/>
    <w:rsid w:val="009F715F"/>
    <w:rsid w:val="00A003C5"/>
    <w:rsid w:val="00A005EA"/>
    <w:rsid w:val="00A00CFE"/>
    <w:rsid w:val="00A0213E"/>
    <w:rsid w:val="00A06474"/>
    <w:rsid w:val="00A102EB"/>
    <w:rsid w:val="00A17C97"/>
    <w:rsid w:val="00A20148"/>
    <w:rsid w:val="00A206F2"/>
    <w:rsid w:val="00A24DCC"/>
    <w:rsid w:val="00A31228"/>
    <w:rsid w:val="00A31AFF"/>
    <w:rsid w:val="00A40254"/>
    <w:rsid w:val="00A4088E"/>
    <w:rsid w:val="00A4090D"/>
    <w:rsid w:val="00A41D92"/>
    <w:rsid w:val="00A42147"/>
    <w:rsid w:val="00A4341D"/>
    <w:rsid w:val="00A449DA"/>
    <w:rsid w:val="00A45EF8"/>
    <w:rsid w:val="00A514C1"/>
    <w:rsid w:val="00A5192B"/>
    <w:rsid w:val="00A5323C"/>
    <w:rsid w:val="00A54421"/>
    <w:rsid w:val="00A575A3"/>
    <w:rsid w:val="00A606C8"/>
    <w:rsid w:val="00A713BC"/>
    <w:rsid w:val="00A74849"/>
    <w:rsid w:val="00A77286"/>
    <w:rsid w:val="00A77EAD"/>
    <w:rsid w:val="00A8008D"/>
    <w:rsid w:val="00A842A3"/>
    <w:rsid w:val="00A879D9"/>
    <w:rsid w:val="00A90308"/>
    <w:rsid w:val="00A92112"/>
    <w:rsid w:val="00A9328C"/>
    <w:rsid w:val="00A941D9"/>
    <w:rsid w:val="00A9709E"/>
    <w:rsid w:val="00A97C5C"/>
    <w:rsid w:val="00A97D59"/>
    <w:rsid w:val="00AA0CE4"/>
    <w:rsid w:val="00AA2C20"/>
    <w:rsid w:val="00AA6A65"/>
    <w:rsid w:val="00AB0049"/>
    <w:rsid w:val="00AB0886"/>
    <w:rsid w:val="00AB2A0E"/>
    <w:rsid w:val="00AB4E19"/>
    <w:rsid w:val="00AB649F"/>
    <w:rsid w:val="00AC29FD"/>
    <w:rsid w:val="00AC38E2"/>
    <w:rsid w:val="00AC395E"/>
    <w:rsid w:val="00AC6A4C"/>
    <w:rsid w:val="00AC7079"/>
    <w:rsid w:val="00AD1B30"/>
    <w:rsid w:val="00AD26D3"/>
    <w:rsid w:val="00AD5408"/>
    <w:rsid w:val="00AD6966"/>
    <w:rsid w:val="00AD7ACF"/>
    <w:rsid w:val="00AE2190"/>
    <w:rsid w:val="00AE2E12"/>
    <w:rsid w:val="00AE613B"/>
    <w:rsid w:val="00AE66B0"/>
    <w:rsid w:val="00AE6AF8"/>
    <w:rsid w:val="00AE7067"/>
    <w:rsid w:val="00AF6A09"/>
    <w:rsid w:val="00B03B03"/>
    <w:rsid w:val="00B0471B"/>
    <w:rsid w:val="00B070E3"/>
    <w:rsid w:val="00B07DD6"/>
    <w:rsid w:val="00B10E6D"/>
    <w:rsid w:val="00B111E1"/>
    <w:rsid w:val="00B11302"/>
    <w:rsid w:val="00B11638"/>
    <w:rsid w:val="00B13B04"/>
    <w:rsid w:val="00B1594C"/>
    <w:rsid w:val="00B201EF"/>
    <w:rsid w:val="00B218B2"/>
    <w:rsid w:val="00B2198C"/>
    <w:rsid w:val="00B23742"/>
    <w:rsid w:val="00B34E32"/>
    <w:rsid w:val="00B376A4"/>
    <w:rsid w:val="00B378E4"/>
    <w:rsid w:val="00B37CA6"/>
    <w:rsid w:val="00B43768"/>
    <w:rsid w:val="00B43801"/>
    <w:rsid w:val="00B43C54"/>
    <w:rsid w:val="00B452D8"/>
    <w:rsid w:val="00B45AF1"/>
    <w:rsid w:val="00B516B2"/>
    <w:rsid w:val="00B527D5"/>
    <w:rsid w:val="00B627D6"/>
    <w:rsid w:val="00B64159"/>
    <w:rsid w:val="00B644CC"/>
    <w:rsid w:val="00B665C8"/>
    <w:rsid w:val="00B669AE"/>
    <w:rsid w:val="00B677D6"/>
    <w:rsid w:val="00B73D91"/>
    <w:rsid w:val="00B74FE8"/>
    <w:rsid w:val="00B74FF6"/>
    <w:rsid w:val="00B75947"/>
    <w:rsid w:val="00B84FD9"/>
    <w:rsid w:val="00B85B5C"/>
    <w:rsid w:val="00B86C05"/>
    <w:rsid w:val="00B87B13"/>
    <w:rsid w:val="00B87B1E"/>
    <w:rsid w:val="00B96C6A"/>
    <w:rsid w:val="00B97C68"/>
    <w:rsid w:val="00BA486C"/>
    <w:rsid w:val="00BA4AD1"/>
    <w:rsid w:val="00BA4DAB"/>
    <w:rsid w:val="00BA5D4C"/>
    <w:rsid w:val="00BA7434"/>
    <w:rsid w:val="00BA7E01"/>
    <w:rsid w:val="00BB628D"/>
    <w:rsid w:val="00BB68C0"/>
    <w:rsid w:val="00BB7EEC"/>
    <w:rsid w:val="00BC3EC6"/>
    <w:rsid w:val="00BC48BA"/>
    <w:rsid w:val="00BC6883"/>
    <w:rsid w:val="00BD0312"/>
    <w:rsid w:val="00BD20BC"/>
    <w:rsid w:val="00BD2DAC"/>
    <w:rsid w:val="00BD5854"/>
    <w:rsid w:val="00BD7402"/>
    <w:rsid w:val="00BE1D21"/>
    <w:rsid w:val="00BE47E7"/>
    <w:rsid w:val="00BE53EB"/>
    <w:rsid w:val="00BE6DAD"/>
    <w:rsid w:val="00BF33F7"/>
    <w:rsid w:val="00BF6E33"/>
    <w:rsid w:val="00BF7229"/>
    <w:rsid w:val="00BF7984"/>
    <w:rsid w:val="00C01241"/>
    <w:rsid w:val="00C022ED"/>
    <w:rsid w:val="00C03626"/>
    <w:rsid w:val="00C07040"/>
    <w:rsid w:val="00C12432"/>
    <w:rsid w:val="00C14536"/>
    <w:rsid w:val="00C15002"/>
    <w:rsid w:val="00C15286"/>
    <w:rsid w:val="00C160DC"/>
    <w:rsid w:val="00C17358"/>
    <w:rsid w:val="00C21369"/>
    <w:rsid w:val="00C230BC"/>
    <w:rsid w:val="00C2779E"/>
    <w:rsid w:val="00C30A36"/>
    <w:rsid w:val="00C30E86"/>
    <w:rsid w:val="00C313E8"/>
    <w:rsid w:val="00C32D1C"/>
    <w:rsid w:val="00C334BB"/>
    <w:rsid w:val="00C34A4B"/>
    <w:rsid w:val="00C35BFC"/>
    <w:rsid w:val="00C3621C"/>
    <w:rsid w:val="00C367BF"/>
    <w:rsid w:val="00C36F4E"/>
    <w:rsid w:val="00C41AD7"/>
    <w:rsid w:val="00C4329B"/>
    <w:rsid w:val="00C503EB"/>
    <w:rsid w:val="00C5188A"/>
    <w:rsid w:val="00C53FCD"/>
    <w:rsid w:val="00C55486"/>
    <w:rsid w:val="00C57706"/>
    <w:rsid w:val="00C6043C"/>
    <w:rsid w:val="00C60F0A"/>
    <w:rsid w:val="00C62C8C"/>
    <w:rsid w:val="00C71FDC"/>
    <w:rsid w:val="00C73801"/>
    <w:rsid w:val="00C73D83"/>
    <w:rsid w:val="00C744A1"/>
    <w:rsid w:val="00C82428"/>
    <w:rsid w:val="00C83558"/>
    <w:rsid w:val="00C85A5B"/>
    <w:rsid w:val="00C86605"/>
    <w:rsid w:val="00C86A38"/>
    <w:rsid w:val="00C9089A"/>
    <w:rsid w:val="00C9187F"/>
    <w:rsid w:val="00C91F1A"/>
    <w:rsid w:val="00C93496"/>
    <w:rsid w:val="00C9519A"/>
    <w:rsid w:val="00CA1EC3"/>
    <w:rsid w:val="00CA4FB5"/>
    <w:rsid w:val="00CA604C"/>
    <w:rsid w:val="00CA691F"/>
    <w:rsid w:val="00CA6CE6"/>
    <w:rsid w:val="00CA7113"/>
    <w:rsid w:val="00CB2620"/>
    <w:rsid w:val="00CB5400"/>
    <w:rsid w:val="00CC21B5"/>
    <w:rsid w:val="00CC59E3"/>
    <w:rsid w:val="00CC71A6"/>
    <w:rsid w:val="00CD0D20"/>
    <w:rsid w:val="00CD106D"/>
    <w:rsid w:val="00CD1411"/>
    <w:rsid w:val="00CD2B26"/>
    <w:rsid w:val="00CD3A5F"/>
    <w:rsid w:val="00CD600E"/>
    <w:rsid w:val="00CD6399"/>
    <w:rsid w:val="00CD64F1"/>
    <w:rsid w:val="00CD6889"/>
    <w:rsid w:val="00CD6D00"/>
    <w:rsid w:val="00CE3DC7"/>
    <w:rsid w:val="00CE6D77"/>
    <w:rsid w:val="00CE7109"/>
    <w:rsid w:val="00CF1499"/>
    <w:rsid w:val="00CF1CFC"/>
    <w:rsid w:val="00CF5DA7"/>
    <w:rsid w:val="00CF6BEE"/>
    <w:rsid w:val="00D039A2"/>
    <w:rsid w:val="00D11154"/>
    <w:rsid w:val="00D113D3"/>
    <w:rsid w:val="00D1162E"/>
    <w:rsid w:val="00D142F3"/>
    <w:rsid w:val="00D14496"/>
    <w:rsid w:val="00D14605"/>
    <w:rsid w:val="00D1492F"/>
    <w:rsid w:val="00D1606D"/>
    <w:rsid w:val="00D210E5"/>
    <w:rsid w:val="00D22E8B"/>
    <w:rsid w:val="00D234EA"/>
    <w:rsid w:val="00D24848"/>
    <w:rsid w:val="00D273F1"/>
    <w:rsid w:val="00D308C7"/>
    <w:rsid w:val="00D327D2"/>
    <w:rsid w:val="00D32FE1"/>
    <w:rsid w:val="00D331D7"/>
    <w:rsid w:val="00D34C60"/>
    <w:rsid w:val="00D40C7E"/>
    <w:rsid w:val="00D40F44"/>
    <w:rsid w:val="00D4356B"/>
    <w:rsid w:val="00D46B28"/>
    <w:rsid w:val="00D507F6"/>
    <w:rsid w:val="00D5093B"/>
    <w:rsid w:val="00D53961"/>
    <w:rsid w:val="00D53970"/>
    <w:rsid w:val="00D53F56"/>
    <w:rsid w:val="00D54E42"/>
    <w:rsid w:val="00D55C3B"/>
    <w:rsid w:val="00D57358"/>
    <w:rsid w:val="00D602F8"/>
    <w:rsid w:val="00D61265"/>
    <w:rsid w:val="00D63C10"/>
    <w:rsid w:val="00D63C2A"/>
    <w:rsid w:val="00D65837"/>
    <w:rsid w:val="00D66CDB"/>
    <w:rsid w:val="00D67F0F"/>
    <w:rsid w:val="00D7521F"/>
    <w:rsid w:val="00D75473"/>
    <w:rsid w:val="00D76B0A"/>
    <w:rsid w:val="00D7771B"/>
    <w:rsid w:val="00D82BA7"/>
    <w:rsid w:val="00D839AA"/>
    <w:rsid w:val="00D87658"/>
    <w:rsid w:val="00D87B21"/>
    <w:rsid w:val="00D91746"/>
    <w:rsid w:val="00D92574"/>
    <w:rsid w:val="00D92BBA"/>
    <w:rsid w:val="00D93ED0"/>
    <w:rsid w:val="00D9540F"/>
    <w:rsid w:val="00D96BFE"/>
    <w:rsid w:val="00DA16C2"/>
    <w:rsid w:val="00DA17E7"/>
    <w:rsid w:val="00DA1870"/>
    <w:rsid w:val="00DA3C25"/>
    <w:rsid w:val="00DA5468"/>
    <w:rsid w:val="00DA5D79"/>
    <w:rsid w:val="00DA700A"/>
    <w:rsid w:val="00DA7271"/>
    <w:rsid w:val="00DB047B"/>
    <w:rsid w:val="00DB0C58"/>
    <w:rsid w:val="00DB30B9"/>
    <w:rsid w:val="00DB4361"/>
    <w:rsid w:val="00DB4757"/>
    <w:rsid w:val="00DC4A40"/>
    <w:rsid w:val="00DC6730"/>
    <w:rsid w:val="00DC6E8E"/>
    <w:rsid w:val="00DD0730"/>
    <w:rsid w:val="00DD5DD5"/>
    <w:rsid w:val="00DE3D7B"/>
    <w:rsid w:val="00DE40B9"/>
    <w:rsid w:val="00DE4402"/>
    <w:rsid w:val="00DF1A76"/>
    <w:rsid w:val="00DF575E"/>
    <w:rsid w:val="00DF6F41"/>
    <w:rsid w:val="00DF7E98"/>
    <w:rsid w:val="00E0264A"/>
    <w:rsid w:val="00E0435A"/>
    <w:rsid w:val="00E05F2E"/>
    <w:rsid w:val="00E13BD1"/>
    <w:rsid w:val="00E17C06"/>
    <w:rsid w:val="00E2229A"/>
    <w:rsid w:val="00E2271E"/>
    <w:rsid w:val="00E23654"/>
    <w:rsid w:val="00E24168"/>
    <w:rsid w:val="00E247AE"/>
    <w:rsid w:val="00E24AAF"/>
    <w:rsid w:val="00E25560"/>
    <w:rsid w:val="00E27EE5"/>
    <w:rsid w:val="00E30C36"/>
    <w:rsid w:val="00E31E35"/>
    <w:rsid w:val="00E3450A"/>
    <w:rsid w:val="00E36357"/>
    <w:rsid w:val="00E36D5E"/>
    <w:rsid w:val="00E403C9"/>
    <w:rsid w:val="00E4124D"/>
    <w:rsid w:val="00E45DDF"/>
    <w:rsid w:val="00E46B7A"/>
    <w:rsid w:val="00E52A8E"/>
    <w:rsid w:val="00E5576E"/>
    <w:rsid w:val="00E62FBE"/>
    <w:rsid w:val="00E71B22"/>
    <w:rsid w:val="00E726F8"/>
    <w:rsid w:val="00E82A92"/>
    <w:rsid w:val="00E837BD"/>
    <w:rsid w:val="00E85CB0"/>
    <w:rsid w:val="00E870F0"/>
    <w:rsid w:val="00E932B2"/>
    <w:rsid w:val="00E95750"/>
    <w:rsid w:val="00E96967"/>
    <w:rsid w:val="00E97E59"/>
    <w:rsid w:val="00EA3FA7"/>
    <w:rsid w:val="00EB1369"/>
    <w:rsid w:val="00EB2A29"/>
    <w:rsid w:val="00EB3397"/>
    <w:rsid w:val="00EB36B0"/>
    <w:rsid w:val="00EB6D9C"/>
    <w:rsid w:val="00EC1E6B"/>
    <w:rsid w:val="00EC3336"/>
    <w:rsid w:val="00ED0F80"/>
    <w:rsid w:val="00ED37C3"/>
    <w:rsid w:val="00ED3A23"/>
    <w:rsid w:val="00ED514F"/>
    <w:rsid w:val="00ED56F7"/>
    <w:rsid w:val="00ED7149"/>
    <w:rsid w:val="00EE15A0"/>
    <w:rsid w:val="00EE2026"/>
    <w:rsid w:val="00EE289D"/>
    <w:rsid w:val="00EE305E"/>
    <w:rsid w:val="00EE5021"/>
    <w:rsid w:val="00EF0727"/>
    <w:rsid w:val="00EF0FBB"/>
    <w:rsid w:val="00EF6076"/>
    <w:rsid w:val="00EF66E3"/>
    <w:rsid w:val="00F003AA"/>
    <w:rsid w:val="00F01655"/>
    <w:rsid w:val="00F03537"/>
    <w:rsid w:val="00F047EB"/>
    <w:rsid w:val="00F07935"/>
    <w:rsid w:val="00F123EF"/>
    <w:rsid w:val="00F13721"/>
    <w:rsid w:val="00F13D35"/>
    <w:rsid w:val="00F16580"/>
    <w:rsid w:val="00F16693"/>
    <w:rsid w:val="00F17DEA"/>
    <w:rsid w:val="00F224E2"/>
    <w:rsid w:val="00F24567"/>
    <w:rsid w:val="00F24CC0"/>
    <w:rsid w:val="00F2583B"/>
    <w:rsid w:val="00F26A0D"/>
    <w:rsid w:val="00F31853"/>
    <w:rsid w:val="00F325B5"/>
    <w:rsid w:val="00F343E2"/>
    <w:rsid w:val="00F37A21"/>
    <w:rsid w:val="00F404A4"/>
    <w:rsid w:val="00F409EA"/>
    <w:rsid w:val="00F40F10"/>
    <w:rsid w:val="00F42C99"/>
    <w:rsid w:val="00F42CC7"/>
    <w:rsid w:val="00F43911"/>
    <w:rsid w:val="00F51D26"/>
    <w:rsid w:val="00F540CB"/>
    <w:rsid w:val="00F57B46"/>
    <w:rsid w:val="00F60DD2"/>
    <w:rsid w:val="00F65234"/>
    <w:rsid w:val="00F772CC"/>
    <w:rsid w:val="00F77DD2"/>
    <w:rsid w:val="00F81EE0"/>
    <w:rsid w:val="00F831C3"/>
    <w:rsid w:val="00F833AD"/>
    <w:rsid w:val="00F83E25"/>
    <w:rsid w:val="00F85153"/>
    <w:rsid w:val="00F878EE"/>
    <w:rsid w:val="00F93562"/>
    <w:rsid w:val="00F9495F"/>
    <w:rsid w:val="00F97D91"/>
    <w:rsid w:val="00FA0B5C"/>
    <w:rsid w:val="00FA4471"/>
    <w:rsid w:val="00FA59E5"/>
    <w:rsid w:val="00FB1D94"/>
    <w:rsid w:val="00FB2E32"/>
    <w:rsid w:val="00FB5159"/>
    <w:rsid w:val="00FB6CFB"/>
    <w:rsid w:val="00FB6E73"/>
    <w:rsid w:val="00FC0066"/>
    <w:rsid w:val="00FC403B"/>
    <w:rsid w:val="00FC4D36"/>
    <w:rsid w:val="00FC6DB8"/>
    <w:rsid w:val="00FC7DFE"/>
    <w:rsid w:val="00FD00A6"/>
    <w:rsid w:val="00FD05C6"/>
    <w:rsid w:val="00FD0A80"/>
    <w:rsid w:val="00FD0DDC"/>
    <w:rsid w:val="00FD1371"/>
    <w:rsid w:val="00FD2E43"/>
    <w:rsid w:val="00FD5FDA"/>
    <w:rsid w:val="00FD60D6"/>
    <w:rsid w:val="00FE04E4"/>
    <w:rsid w:val="00FE303E"/>
    <w:rsid w:val="00FE3117"/>
    <w:rsid w:val="00FE3F2C"/>
    <w:rsid w:val="00FE7C8A"/>
    <w:rsid w:val="00FF2A04"/>
    <w:rsid w:val="00FF2D97"/>
    <w:rsid w:val="00FF34C0"/>
    <w:rsid w:val="00FF4383"/>
    <w:rsid w:val="00FF5C9F"/>
    <w:rsid w:val="00FF6489"/>
    <w:rsid w:val="00FF6CD1"/>
    <w:rsid w:val="00FF7A58"/>
    <w:rsid w:val="00FF7C1E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E0B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6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0">
    <w:name w:val="Body Text 3"/>
    <w:basedOn w:val="a"/>
    <w:link w:val="31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character" w:styleId="aa">
    <w:name w:val="Strong"/>
    <w:qFormat/>
    <w:rPr>
      <w:b/>
      <w:bCs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"/>
    <w:semiHidden/>
    <w:rsid w:val="00605E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1">
    <w:name w:val="Основной текст 3 Знак"/>
    <w:link w:val="30"/>
    <w:rsid w:val="005C7B45"/>
  </w:style>
  <w:style w:type="paragraph" w:styleId="ad">
    <w:name w:val="endnote text"/>
    <w:basedOn w:val="a"/>
    <w:link w:val="ae"/>
    <w:rsid w:val="008B572C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B572C"/>
  </w:style>
  <w:style w:type="character" w:styleId="af">
    <w:name w:val="endnote reference"/>
    <w:rsid w:val="008B572C"/>
    <w:rPr>
      <w:vertAlign w:val="superscript"/>
    </w:rPr>
  </w:style>
  <w:style w:type="character" w:customStyle="1" w:styleId="22">
    <w:name w:val="Основной текст 2 Знак"/>
    <w:link w:val="21"/>
    <w:rsid w:val="00762D65"/>
    <w:rPr>
      <w:sz w:val="24"/>
      <w:szCs w:val="24"/>
    </w:rPr>
  </w:style>
  <w:style w:type="character" w:styleId="af0">
    <w:name w:val="annotation reference"/>
    <w:uiPriority w:val="99"/>
    <w:rsid w:val="00314FC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14F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14FC3"/>
  </w:style>
  <w:style w:type="paragraph" w:styleId="af3">
    <w:name w:val="annotation subject"/>
    <w:basedOn w:val="af1"/>
    <w:next w:val="af1"/>
    <w:link w:val="af4"/>
    <w:rsid w:val="00314FC3"/>
    <w:rPr>
      <w:b/>
      <w:bCs/>
    </w:rPr>
  </w:style>
  <w:style w:type="character" w:customStyle="1" w:styleId="af4">
    <w:name w:val="Тема примечания Знак"/>
    <w:link w:val="af3"/>
    <w:rsid w:val="00314FC3"/>
    <w:rPr>
      <w:b/>
      <w:bCs/>
    </w:rPr>
  </w:style>
  <w:style w:type="paragraph" w:styleId="af5">
    <w:name w:val="footnote text"/>
    <w:basedOn w:val="a"/>
    <w:link w:val="af6"/>
    <w:rsid w:val="00444687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444687"/>
  </w:style>
  <w:style w:type="character" w:styleId="af7">
    <w:name w:val="footnote reference"/>
    <w:rsid w:val="00444687"/>
    <w:rPr>
      <w:vertAlign w:val="superscript"/>
    </w:rPr>
  </w:style>
  <w:style w:type="paragraph" w:styleId="af8">
    <w:name w:val="List Paragraph"/>
    <w:basedOn w:val="a"/>
    <w:uiPriority w:val="34"/>
    <w:qFormat/>
    <w:rsid w:val="00933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F17DEA"/>
    <w:rPr>
      <w:sz w:val="24"/>
      <w:szCs w:val="24"/>
    </w:rPr>
  </w:style>
  <w:style w:type="table" w:styleId="afa">
    <w:name w:val="Table Grid"/>
    <w:basedOn w:val="a1"/>
    <w:rsid w:val="00A3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6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0">
    <w:name w:val="Body Text 3"/>
    <w:basedOn w:val="a"/>
    <w:link w:val="31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character" w:styleId="aa">
    <w:name w:val="Strong"/>
    <w:qFormat/>
    <w:rPr>
      <w:b/>
      <w:bCs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"/>
    <w:semiHidden/>
    <w:rsid w:val="00605E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1">
    <w:name w:val="Основной текст 3 Знак"/>
    <w:link w:val="30"/>
    <w:rsid w:val="005C7B45"/>
  </w:style>
  <w:style w:type="paragraph" w:styleId="ad">
    <w:name w:val="endnote text"/>
    <w:basedOn w:val="a"/>
    <w:link w:val="ae"/>
    <w:rsid w:val="008B572C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B572C"/>
  </w:style>
  <w:style w:type="character" w:styleId="af">
    <w:name w:val="endnote reference"/>
    <w:rsid w:val="008B572C"/>
    <w:rPr>
      <w:vertAlign w:val="superscript"/>
    </w:rPr>
  </w:style>
  <w:style w:type="character" w:customStyle="1" w:styleId="22">
    <w:name w:val="Основной текст 2 Знак"/>
    <w:link w:val="21"/>
    <w:rsid w:val="00762D65"/>
    <w:rPr>
      <w:sz w:val="24"/>
      <w:szCs w:val="24"/>
    </w:rPr>
  </w:style>
  <w:style w:type="character" w:styleId="af0">
    <w:name w:val="annotation reference"/>
    <w:uiPriority w:val="99"/>
    <w:rsid w:val="00314FC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14F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14FC3"/>
  </w:style>
  <w:style w:type="paragraph" w:styleId="af3">
    <w:name w:val="annotation subject"/>
    <w:basedOn w:val="af1"/>
    <w:next w:val="af1"/>
    <w:link w:val="af4"/>
    <w:rsid w:val="00314FC3"/>
    <w:rPr>
      <w:b/>
      <w:bCs/>
    </w:rPr>
  </w:style>
  <w:style w:type="character" w:customStyle="1" w:styleId="af4">
    <w:name w:val="Тема примечания Знак"/>
    <w:link w:val="af3"/>
    <w:rsid w:val="00314FC3"/>
    <w:rPr>
      <w:b/>
      <w:bCs/>
    </w:rPr>
  </w:style>
  <w:style w:type="paragraph" w:styleId="af5">
    <w:name w:val="footnote text"/>
    <w:basedOn w:val="a"/>
    <w:link w:val="af6"/>
    <w:rsid w:val="00444687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444687"/>
  </w:style>
  <w:style w:type="character" w:styleId="af7">
    <w:name w:val="footnote reference"/>
    <w:rsid w:val="00444687"/>
    <w:rPr>
      <w:vertAlign w:val="superscript"/>
    </w:rPr>
  </w:style>
  <w:style w:type="paragraph" w:styleId="af8">
    <w:name w:val="List Paragraph"/>
    <w:basedOn w:val="a"/>
    <w:uiPriority w:val="34"/>
    <w:qFormat/>
    <w:rsid w:val="00933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F17DEA"/>
    <w:rPr>
      <w:sz w:val="24"/>
      <w:szCs w:val="24"/>
    </w:rPr>
  </w:style>
  <w:style w:type="table" w:styleId="afa">
    <w:name w:val="Table Grid"/>
    <w:basedOn w:val="a1"/>
    <w:rsid w:val="00A3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26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4049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136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77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C4B0-E980-4B4D-9FF7-140CD78E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1809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Лобанов Антон Николаевич</cp:lastModifiedBy>
  <cp:revision>3</cp:revision>
  <cp:lastPrinted>2022-03-04T07:14:00Z</cp:lastPrinted>
  <dcterms:created xsi:type="dcterms:W3CDTF">2023-06-21T14:15:00Z</dcterms:created>
  <dcterms:modified xsi:type="dcterms:W3CDTF">2023-06-21T14:17:00Z</dcterms:modified>
</cp:coreProperties>
</file>